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spacing w:after="100" w:afterAutospacing="1" w:line="312" w:lineRule="atLeast"/>
        <w:outlineLvl w:val="1"/>
        <w:rPr>
          <w:rFonts w:ascii="Arial" w:eastAsia="Times New Roman" w:hAnsi="Arial" w:cs="Arial"/>
          <w:color w:val="011A3C"/>
          <w:sz w:val="36"/>
          <w:szCs w:val="36"/>
          <w:lang w:eastAsia="en-AU"/>
        </w:rPr>
      </w:pPr>
      <w:r>
        <w:rPr>
          <w:rFonts w:ascii="Arial" w:eastAsia="Times New Roman" w:hAnsi="Arial" w:cs="Arial"/>
          <w:color w:val="011A3C"/>
          <w:sz w:val="36"/>
          <w:szCs w:val="36"/>
          <w:lang w:eastAsia="en-AU"/>
        </w:rPr>
        <w:t>Policy</w:t>
      </w:r>
    </w:p>
    <w:p>
      <w:pPr>
        <w:spacing w:before="100" w:beforeAutospacing="1" w:after="100" w:afterAutospacing="1" w:line="240" w:lineRule="auto"/>
        <w:rPr>
          <w:rFonts w:ascii="VIC-Regular" w:eastAsia="Times New Roman" w:hAnsi="VIC-Regular" w:cs="Times New Roman"/>
          <w:color w:val="011A3C"/>
          <w:sz w:val="24"/>
          <w:szCs w:val="24"/>
          <w:lang w:eastAsia="en-AU"/>
        </w:rPr>
      </w:pPr>
      <w:r>
        <w:rPr>
          <w:rFonts w:ascii="VIC-Regular" w:eastAsia="Times New Roman" w:hAnsi="VIC-Regular" w:cs="Times New Roman"/>
          <w:color w:val="011A3C"/>
          <w:sz w:val="24"/>
          <w:szCs w:val="24"/>
          <w:lang w:eastAsia="en-AU"/>
        </w:rPr>
        <w:t>This policy sets out requirements for entry into Victorian government schools, including admissions, enrolments, the placement of students and transfers between schools.</w:t>
      </w:r>
    </w:p>
    <w:p>
      <w:pPr>
        <w:spacing w:before="100" w:beforeAutospacing="1" w:after="100" w:afterAutospacing="1" w:line="312" w:lineRule="atLeast"/>
        <w:outlineLvl w:val="1"/>
        <w:rPr>
          <w:rFonts w:ascii="Arial" w:eastAsia="Times New Roman" w:hAnsi="Arial" w:cs="Arial"/>
          <w:color w:val="011A3C"/>
          <w:sz w:val="36"/>
          <w:szCs w:val="36"/>
          <w:lang w:eastAsia="en-AU"/>
        </w:rPr>
      </w:pPr>
      <w:r>
        <w:rPr>
          <w:rFonts w:ascii="Arial" w:eastAsia="Times New Roman" w:hAnsi="Arial" w:cs="Arial"/>
          <w:color w:val="011A3C"/>
          <w:sz w:val="36"/>
          <w:szCs w:val="36"/>
          <w:lang w:eastAsia="en-AU"/>
        </w:rPr>
        <w:t>Details</w:t>
      </w:r>
    </w:p>
    <w:p>
      <w:pPr>
        <w:spacing w:before="100" w:beforeAutospacing="1" w:after="100" w:afterAutospacing="1" w:line="240" w:lineRule="auto"/>
        <w:rPr>
          <w:rFonts w:ascii="VIC-Regular" w:eastAsia="Times New Roman" w:hAnsi="VIC-Regular" w:cs="Times New Roman"/>
          <w:color w:val="011A3C"/>
          <w:sz w:val="24"/>
          <w:szCs w:val="24"/>
          <w:lang w:eastAsia="en-AU"/>
        </w:rPr>
      </w:pPr>
      <w:r>
        <w:rPr>
          <w:rFonts w:ascii="VIC-Regular" w:eastAsia="Times New Roman" w:hAnsi="VIC-Regular" w:cs="Times New Roman"/>
          <w:color w:val="011A3C"/>
          <w:sz w:val="24"/>
          <w:szCs w:val="24"/>
          <w:lang w:eastAsia="en-AU"/>
        </w:rPr>
        <w:t xml:space="preserve">This Enrolment Policy and the mandatory Enrolment in a Victorian Government School Guidelines, available on the Guidance tab, combines the admissions, enrolment, </w:t>
      </w:r>
      <w:proofErr w:type="gramStart"/>
      <w:r>
        <w:rPr>
          <w:rFonts w:ascii="VIC-Regular" w:eastAsia="Times New Roman" w:hAnsi="VIC-Regular" w:cs="Times New Roman"/>
          <w:color w:val="011A3C"/>
          <w:sz w:val="24"/>
          <w:szCs w:val="24"/>
          <w:lang w:eastAsia="en-AU"/>
        </w:rPr>
        <w:t>placement</w:t>
      </w:r>
      <w:proofErr w:type="gramEnd"/>
      <w:r>
        <w:rPr>
          <w:rFonts w:ascii="VIC-Regular" w:eastAsia="Times New Roman" w:hAnsi="VIC-Regular" w:cs="Times New Roman"/>
          <w:color w:val="011A3C"/>
          <w:sz w:val="24"/>
          <w:szCs w:val="24"/>
          <w:lang w:eastAsia="en-AU"/>
        </w:rPr>
        <w:t xml:space="preserve"> and transfers policies into one clear and concise location for Victorian government schools.</w:t>
      </w:r>
    </w:p>
    <w:p>
      <w:pPr>
        <w:spacing w:before="100" w:beforeAutospacing="1" w:after="100" w:afterAutospacing="1" w:line="240" w:lineRule="auto"/>
        <w:rPr>
          <w:rFonts w:ascii="VIC-Regular" w:eastAsia="Times New Roman" w:hAnsi="VIC-Regular" w:cs="Times New Roman"/>
          <w:color w:val="011A3C"/>
          <w:sz w:val="24"/>
          <w:szCs w:val="24"/>
          <w:lang w:eastAsia="en-AU"/>
        </w:rPr>
      </w:pPr>
      <w:r>
        <w:rPr>
          <w:rFonts w:ascii="VIC-Regular" w:eastAsia="Times New Roman" w:hAnsi="VIC-Regular" w:cs="Times New Roman"/>
          <w:color w:val="011A3C"/>
          <w:sz w:val="24"/>
          <w:szCs w:val="24"/>
          <w:lang w:eastAsia="en-AU"/>
        </w:rPr>
        <w:t>Under the Education and Training Reform Act 2006 (Vic):</w:t>
      </w:r>
    </w:p>
    <w:p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VIC-Regular" w:eastAsia="Times New Roman" w:hAnsi="VIC-Regular" w:cs="Times New Roman"/>
          <w:color w:val="011A3C"/>
          <w:sz w:val="24"/>
          <w:szCs w:val="24"/>
          <w:lang w:eastAsia="en-AU"/>
        </w:rPr>
      </w:pPr>
      <w:r>
        <w:rPr>
          <w:rFonts w:ascii="VIC-Regular" w:eastAsia="Times New Roman" w:hAnsi="VIC-Regular" w:cs="Times New Roman"/>
          <w:color w:val="011A3C"/>
          <w:sz w:val="24"/>
          <w:szCs w:val="24"/>
          <w:lang w:eastAsia="en-AU"/>
        </w:rPr>
        <w:t>Schooling is compulsory for students aged between 6 and 17 years unless an exemption from attendance has been granted. This applies to all schools including mainstream, specialist, and government English language schools or centres.</w:t>
      </w:r>
    </w:p>
    <w:p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VIC-Regular" w:eastAsia="Times New Roman" w:hAnsi="VIC-Regular" w:cs="Times New Roman"/>
          <w:color w:val="011A3C"/>
          <w:sz w:val="24"/>
          <w:szCs w:val="24"/>
          <w:lang w:eastAsia="en-AU"/>
        </w:rPr>
      </w:pPr>
      <w:r>
        <w:rPr>
          <w:rFonts w:ascii="VIC-Regular" w:eastAsia="Times New Roman" w:hAnsi="VIC-Regular" w:cs="Times New Roman"/>
          <w:color w:val="011A3C"/>
          <w:sz w:val="24"/>
          <w:szCs w:val="24"/>
          <w:lang w:eastAsia="en-AU"/>
        </w:rPr>
        <w:t>Every Victorian student has a legislated right to enrol at their designated neighbourhood school (section 2.2.13) and may be enrolled at another school subject to sufficient accommodation (section 2.2.14).</w:t>
      </w:r>
    </w:p>
    <w:p>
      <w:pPr>
        <w:spacing w:before="100" w:beforeAutospacing="1" w:after="100" w:afterAutospacing="1" w:line="240" w:lineRule="auto"/>
        <w:rPr>
          <w:rFonts w:ascii="VIC-Regular" w:eastAsia="Times New Roman" w:hAnsi="VIC-Regular" w:cs="Times New Roman"/>
          <w:color w:val="011A3C"/>
          <w:sz w:val="24"/>
          <w:szCs w:val="24"/>
          <w:lang w:eastAsia="en-AU"/>
        </w:rPr>
      </w:pPr>
      <w:r>
        <w:rPr>
          <w:rFonts w:ascii="VIC-Regular" w:eastAsia="Times New Roman" w:hAnsi="VIC-Regular" w:cs="Times New Roman"/>
          <w:color w:val="011A3C"/>
          <w:sz w:val="24"/>
          <w:szCs w:val="24"/>
          <w:lang w:eastAsia="en-AU"/>
        </w:rPr>
        <w:t>Victorian government schools must refer to the Enrolment in a Victorian Government School Guidelines (refer to </w:t>
      </w:r>
      <w:hyperlink r:id="rId8" w:history="1">
        <w:r>
          <w:rPr>
            <w:rFonts w:ascii="VIC-Regular" w:eastAsia="Times New Roman" w:hAnsi="VIC-Regular" w:cs="Times New Roman"/>
            <w:color w:val="1855BF"/>
            <w:sz w:val="24"/>
            <w:szCs w:val="24"/>
            <w:lang w:eastAsia="en-AU"/>
          </w:rPr>
          <w:t>Guidance tab</w:t>
        </w:r>
      </w:hyperlink>
      <w:r>
        <w:rPr>
          <w:rFonts w:ascii="VIC-Regular" w:eastAsia="Times New Roman" w:hAnsi="VIC-Regular" w:cs="Times New Roman"/>
          <w:color w:val="011A3C"/>
          <w:sz w:val="24"/>
          <w:szCs w:val="24"/>
          <w:lang w:eastAsia="en-AU"/>
        </w:rPr>
        <w:t>), for details on:</w:t>
      </w:r>
    </w:p>
    <w:p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VIC-Regular" w:eastAsia="Times New Roman" w:hAnsi="VIC-Regular" w:cs="Times New Roman"/>
          <w:color w:val="011A3C"/>
          <w:sz w:val="24"/>
          <w:szCs w:val="24"/>
          <w:lang w:eastAsia="en-AU"/>
        </w:rPr>
      </w:pPr>
      <w:r>
        <w:rPr>
          <w:rFonts w:ascii="VIC-Regular" w:eastAsia="Times New Roman" w:hAnsi="VIC-Regular" w:cs="Times New Roman"/>
          <w:color w:val="011A3C"/>
          <w:sz w:val="24"/>
          <w:szCs w:val="24"/>
          <w:lang w:eastAsia="en-AU"/>
        </w:rPr>
        <w:t>age eligibility, including exceptions and exemptions from the maximum and minimum school age requirements and processes</w:t>
      </w:r>
    </w:p>
    <w:p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VIC-Regular" w:eastAsia="Times New Roman" w:hAnsi="VIC-Regular" w:cs="Times New Roman"/>
          <w:color w:val="011A3C"/>
          <w:sz w:val="24"/>
          <w:szCs w:val="24"/>
          <w:lang w:eastAsia="en-AU"/>
        </w:rPr>
      </w:pPr>
      <w:r>
        <w:rPr>
          <w:rFonts w:ascii="VIC-Regular" w:eastAsia="Times New Roman" w:hAnsi="VIC-Regular" w:cs="Times New Roman"/>
          <w:color w:val="011A3C"/>
          <w:sz w:val="24"/>
          <w:szCs w:val="24"/>
          <w:lang w:eastAsia="en-AU"/>
        </w:rPr>
        <w:t>determining designated neighbourhood school areas and zones</w:t>
      </w:r>
    </w:p>
    <w:p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VIC-Regular" w:eastAsia="Times New Roman" w:hAnsi="VIC-Regular" w:cs="Times New Roman"/>
          <w:color w:val="011A3C"/>
          <w:sz w:val="24"/>
          <w:szCs w:val="24"/>
          <w:lang w:eastAsia="en-AU"/>
        </w:rPr>
      </w:pPr>
      <w:r>
        <w:rPr>
          <w:rFonts w:ascii="VIC-Regular" w:eastAsia="Times New Roman" w:hAnsi="VIC-Regular" w:cs="Times New Roman"/>
          <w:color w:val="011A3C"/>
          <w:sz w:val="24"/>
          <w:szCs w:val="24"/>
          <w:lang w:eastAsia="en-AU"/>
        </w:rPr>
        <w:t>Department policy requirements relating to placement of students (Placement Policy) and enrolment management</w:t>
      </w:r>
    </w:p>
    <w:p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VIC-Regular" w:eastAsia="Times New Roman" w:hAnsi="VIC-Regular" w:cs="Times New Roman"/>
          <w:color w:val="011A3C"/>
          <w:sz w:val="24"/>
          <w:szCs w:val="24"/>
          <w:lang w:eastAsia="en-AU"/>
        </w:rPr>
      </w:pPr>
      <w:r>
        <w:rPr>
          <w:rFonts w:ascii="VIC-Regular" w:eastAsia="Times New Roman" w:hAnsi="VIC-Regular" w:cs="Times New Roman"/>
          <w:color w:val="011A3C"/>
          <w:sz w:val="24"/>
          <w:szCs w:val="24"/>
          <w:lang w:eastAsia="en-AU"/>
        </w:rPr>
        <w:t>enrolment appeal processes and requirements</w:t>
      </w:r>
    </w:p>
    <w:p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VIC-Regular" w:eastAsia="Times New Roman" w:hAnsi="VIC-Regular" w:cs="Times New Roman"/>
          <w:color w:val="011A3C"/>
          <w:sz w:val="24"/>
          <w:szCs w:val="24"/>
          <w:lang w:eastAsia="en-AU"/>
        </w:rPr>
      </w:pPr>
      <w:r>
        <w:rPr>
          <w:rFonts w:ascii="VIC-Regular" w:eastAsia="Times New Roman" w:hAnsi="VIC-Regular" w:cs="Times New Roman"/>
          <w:color w:val="011A3C"/>
          <w:sz w:val="24"/>
          <w:szCs w:val="24"/>
          <w:lang w:eastAsia="en-AU"/>
        </w:rPr>
        <w:t>determining permanent residence of students and families</w:t>
      </w:r>
    </w:p>
    <w:p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VIC-Regular" w:eastAsia="Times New Roman" w:hAnsi="VIC-Regular" w:cs="Times New Roman"/>
          <w:color w:val="011A3C"/>
          <w:sz w:val="24"/>
          <w:szCs w:val="24"/>
          <w:lang w:eastAsia="en-AU"/>
        </w:rPr>
      </w:pPr>
      <w:r>
        <w:rPr>
          <w:rFonts w:ascii="VIC-Regular" w:eastAsia="Times New Roman" w:hAnsi="VIC-Regular" w:cs="Times New Roman"/>
          <w:color w:val="011A3C"/>
          <w:sz w:val="24"/>
          <w:szCs w:val="24"/>
          <w:lang w:eastAsia="en-AU"/>
        </w:rPr>
        <w:t>required documentation and information when enrolling students</w:t>
      </w:r>
    </w:p>
    <w:p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VIC-Regular" w:eastAsia="Times New Roman" w:hAnsi="VIC-Regular" w:cs="Times New Roman"/>
          <w:color w:val="011A3C"/>
          <w:sz w:val="24"/>
          <w:szCs w:val="24"/>
          <w:lang w:eastAsia="en-AU"/>
        </w:rPr>
      </w:pPr>
      <w:r>
        <w:rPr>
          <w:rFonts w:ascii="VIC-Regular" w:eastAsia="Times New Roman" w:hAnsi="VIC-Regular" w:cs="Times New Roman"/>
          <w:color w:val="011A3C"/>
          <w:sz w:val="24"/>
          <w:szCs w:val="24"/>
          <w:lang w:eastAsia="en-AU"/>
        </w:rPr>
        <w:t>transfers between schools</w:t>
      </w:r>
    </w:p>
    <w:p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VIC-Regular" w:eastAsia="Times New Roman" w:hAnsi="VIC-Regular" w:cs="Times New Roman"/>
          <w:color w:val="011A3C"/>
          <w:sz w:val="24"/>
          <w:szCs w:val="24"/>
          <w:lang w:eastAsia="en-AU"/>
        </w:rPr>
      </w:pPr>
      <w:r>
        <w:rPr>
          <w:rFonts w:ascii="VIC-Regular" w:eastAsia="Times New Roman" w:hAnsi="VIC-Regular" w:cs="Times New Roman"/>
          <w:color w:val="011A3C"/>
          <w:sz w:val="24"/>
          <w:szCs w:val="24"/>
          <w:lang w:eastAsia="en-AU"/>
        </w:rPr>
        <w:t>enrolment in specialist schools</w:t>
      </w:r>
    </w:p>
    <w:p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VIC-Regular" w:eastAsia="Times New Roman" w:hAnsi="VIC-Regular" w:cs="Times New Roman"/>
          <w:color w:val="011A3C"/>
          <w:sz w:val="24"/>
          <w:szCs w:val="24"/>
          <w:lang w:eastAsia="en-AU"/>
        </w:rPr>
      </w:pPr>
      <w:r>
        <w:rPr>
          <w:rFonts w:ascii="VIC-Regular" w:eastAsia="Times New Roman" w:hAnsi="VIC-Regular" w:cs="Times New Roman"/>
          <w:color w:val="011A3C"/>
          <w:sz w:val="24"/>
          <w:szCs w:val="24"/>
          <w:lang w:eastAsia="en-AU"/>
        </w:rPr>
        <w:t>concurrent enrolment for students entering youth justice or secure welfare.</w:t>
      </w:r>
    </w:p>
    <w:p>
      <w:pPr>
        <w:spacing w:before="100" w:beforeAutospacing="1" w:after="100" w:afterAutospacing="1" w:line="240" w:lineRule="auto"/>
        <w:rPr>
          <w:rFonts w:ascii="VIC-Regular" w:eastAsia="Times New Roman" w:hAnsi="VIC-Regular" w:cs="Times New Roman"/>
          <w:color w:val="011A3C"/>
          <w:sz w:val="24"/>
          <w:szCs w:val="24"/>
          <w:lang w:eastAsia="en-AU"/>
        </w:rPr>
      </w:pPr>
      <w:r>
        <w:rPr>
          <w:rFonts w:ascii="VIC-Regular" w:eastAsia="Times New Roman" w:hAnsi="VIC-Regular" w:cs="Times New Roman"/>
          <w:color w:val="011A3C"/>
          <w:sz w:val="24"/>
          <w:szCs w:val="24"/>
          <w:lang w:eastAsia="en-AU"/>
        </w:rPr>
        <w:t>For policy and guidance on transition process and support for students moving from Year 6 to 7, refer to: </w:t>
      </w:r>
      <w:hyperlink r:id="rId9" w:history="1">
        <w:r>
          <w:rPr>
            <w:rFonts w:ascii="VIC-Regular" w:eastAsia="Times New Roman" w:hAnsi="VIC-Regular" w:cs="Times New Roman"/>
            <w:color w:val="1855BF"/>
            <w:sz w:val="24"/>
            <w:szCs w:val="24"/>
            <w:lang w:eastAsia="en-AU"/>
          </w:rPr>
          <w:t>Transition — Year 6 to 7</w:t>
        </w:r>
      </w:hyperlink>
      <w:r>
        <w:rPr>
          <w:rFonts w:ascii="VIC-Regular" w:eastAsia="Times New Roman" w:hAnsi="VIC-Regular" w:cs="Times New Roman"/>
          <w:color w:val="011A3C"/>
          <w:sz w:val="24"/>
          <w:szCs w:val="24"/>
          <w:lang w:eastAsia="en-AU"/>
        </w:rPr>
        <w:t>.</w:t>
      </w:r>
    </w:p>
    <w:p>
      <w:pPr>
        <w:spacing w:before="100" w:beforeAutospacing="1" w:after="100" w:afterAutospacing="1" w:line="240" w:lineRule="auto"/>
        <w:rPr>
          <w:rFonts w:ascii="VIC-Regular" w:eastAsia="Times New Roman" w:hAnsi="VIC-Regular" w:cs="Times New Roman"/>
          <w:color w:val="011A3C"/>
          <w:sz w:val="24"/>
          <w:szCs w:val="24"/>
          <w:lang w:eastAsia="en-AU"/>
        </w:rPr>
      </w:pPr>
      <w:r>
        <w:rPr>
          <w:rFonts w:ascii="VIC-Regular" w:eastAsia="Times New Roman" w:hAnsi="VIC-Regular" w:cs="Times New Roman"/>
          <w:color w:val="011A3C"/>
          <w:sz w:val="24"/>
          <w:szCs w:val="24"/>
          <w:lang w:eastAsia="en-AU"/>
        </w:rPr>
        <w:t>For policy and guidance on exemptions from attendance and enrolment, refer to: </w:t>
      </w:r>
      <w:hyperlink r:id="rId10" w:history="1">
        <w:r>
          <w:rPr>
            <w:rFonts w:ascii="VIC-Regular" w:eastAsia="Times New Roman" w:hAnsi="VIC-Regular" w:cs="Times New Roman"/>
            <w:color w:val="1855BF"/>
            <w:sz w:val="24"/>
            <w:szCs w:val="24"/>
            <w:lang w:eastAsia="en-AU"/>
          </w:rPr>
          <w:t>Exemptions to School Attendance and Enrolment</w:t>
        </w:r>
      </w:hyperlink>
      <w:r>
        <w:rPr>
          <w:rFonts w:ascii="VIC-Regular" w:eastAsia="Times New Roman" w:hAnsi="VIC-Regular" w:cs="Times New Roman"/>
          <w:color w:val="011A3C"/>
          <w:sz w:val="24"/>
          <w:szCs w:val="24"/>
          <w:lang w:eastAsia="en-AU"/>
        </w:rPr>
        <w:t>.</w:t>
      </w:r>
    </w:p>
    <w:p>
      <w:pPr>
        <w:spacing w:before="100" w:beforeAutospacing="1" w:after="100" w:afterAutospacing="1" w:line="312" w:lineRule="atLeast"/>
        <w:outlineLvl w:val="1"/>
        <w:rPr>
          <w:rFonts w:ascii="Arial" w:eastAsia="Times New Roman" w:hAnsi="Arial" w:cs="Arial"/>
          <w:color w:val="011A3C"/>
          <w:sz w:val="36"/>
          <w:szCs w:val="36"/>
          <w:lang w:eastAsia="en-AU"/>
        </w:rPr>
      </w:pPr>
      <w:r>
        <w:rPr>
          <w:rFonts w:ascii="Arial" w:eastAsia="Times New Roman" w:hAnsi="Arial" w:cs="Arial"/>
          <w:color w:val="011A3C"/>
          <w:sz w:val="36"/>
          <w:szCs w:val="36"/>
          <w:lang w:eastAsia="en-AU"/>
        </w:rPr>
        <w:lastRenderedPageBreak/>
        <w:t>Related policies</w:t>
      </w:r>
    </w:p>
    <w:p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VIC-Regular" w:eastAsia="Times New Roman" w:hAnsi="VIC-Regular" w:cs="Times New Roman"/>
          <w:color w:val="011A3C"/>
          <w:sz w:val="24"/>
          <w:szCs w:val="24"/>
          <w:lang w:eastAsia="en-AU"/>
        </w:rPr>
      </w:pPr>
      <w:hyperlink r:id="rId11" w:history="1">
        <w:r>
          <w:rPr>
            <w:rFonts w:ascii="VIC-Regular" w:eastAsia="Times New Roman" w:hAnsi="VIC-Regular" w:cs="Times New Roman"/>
            <w:color w:val="1855BF"/>
            <w:sz w:val="24"/>
            <w:szCs w:val="24"/>
            <w:lang w:eastAsia="en-AU"/>
          </w:rPr>
          <w:t>Attendance</w:t>
        </w:r>
      </w:hyperlink>
    </w:p>
    <w:p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VIC-Regular" w:eastAsia="Times New Roman" w:hAnsi="VIC-Regular" w:cs="Times New Roman"/>
          <w:color w:val="011A3C"/>
          <w:sz w:val="24"/>
          <w:szCs w:val="24"/>
          <w:lang w:eastAsia="en-AU"/>
        </w:rPr>
      </w:pPr>
      <w:hyperlink r:id="rId12" w:history="1">
        <w:r>
          <w:rPr>
            <w:rFonts w:ascii="VIC-Regular" w:eastAsia="Times New Roman" w:hAnsi="VIC-Regular" w:cs="Times New Roman"/>
            <w:color w:val="1855BF"/>
            <w:sz w:val="24"/>
            <w:szCs w:val="24"/>
            <w:lang w:eastAsia="en-AU"/>
          </w:rPr>
          <w:t>Decision Making Responsibilities for Students</w:t>
        </w:r>
      </w:hyperlink>
    </w:p>
    <w:p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VIC-Regular" w:eastAsia="Times New Roman" w:hAnsi="VIC-Regular" w:cs="Times New Roman"/>
          <w:color w:val="011A3C"/>
          <w:sz w:val="24"/>
          <w:szCs w:val="24"/>
          <w:lang w:eastAsia="en-AU"/>
        </w:rPr>
      </w:pPr>
      <w:hyperlink r:id="rId13" w:history="1">
        <w:r>
          <w:rPr>
            <w:rFonts w:ascii="VIC-Regular" w:eastAsia="Times New Roman" w:hAnsi="VIC-Regular" w:cs="Times New Roman"/>
            <w:color w:val="1855BF"/>
            <w:sz w:val="24"/>
            <w:szCs w:val="24"/>
            <w:lang w:eastAsia="en-AU"/>
          </w:rPr>
          <w:t>Exemptions from School Attendance and Enrolment</w:t>
        </w:r>
      </w:hyperlink>
    </w:p>
    <w:p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VIC-Regular" w:eastAsia="Times New Roman" w:hAnsi="VIC-Regular" w:cs="Times New Roman"/>
          <w:color w:val="011A3C"/>
          <w:sz w:val="24"/>
          <w:szCs w:val="24"/>
          <w:lang w:eastAsia="en-AU"/>
        </w:rPr>
      </w:pPr>
      <w:hyperlink r:id="rId14" w:history="1">
        <w:r>
          <w:rPr>
            <w:rFonts w:ascii="VIC-Regular" w:eastAsia="Times New Roman" w:hAnsi="VIC-Regular" w:cs="Times New Roman"/>
            <w:color w:val="1855BF"/>
            <w:sz w:val="24"/>
            <w:szCs w:val="24"/>
            <w:lang w:eastAsia="en-AU"/>
          </w:rPr>
          <w:t>Expulsions</w:t>
        </w:r>
      </w:hyperlink>
    </w:p>
    <w:p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VIC-Regular" w:eastAsia="Times New Roman" w:hAnsi="VIC-Regular" w:cs="Times New Roman"/>
          <w:color w:val="011A3C"/>
          <w:sz w:val="24"/>
          <w:szCs w:val="24"/>
          <w:lang w:eastAsia="en-AU"/>
        </w:rPr>
      </w:pPr>
      <w:hyperlink r:id="rId15" w:history="1">
        <w:r>
          <w:rPr>
            <w:rFonts w:ascii="VIC-Regular" w:eastAsia="Times New Roman" w:hAnsi="VIC-Regular" w:cs="Times New Roman"/>
            <w:color w:val="1855BF"/>
            <w:sz w:val="24"/>
            <w:szCs w:val="24"/>
            <w:lang w:eastAsia="en-AU"/>
          </w:rPr>
          <w:t>Home Schooling and Partial Enrolments</w:t>
        </w:r>
      </w:hyperlink>
    </w:p>
    <w:p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VIC-Regular" w:eastAsia="Times New Roman" w:hAnsi="VIC-Regular" w:cs="Times New Roman"/>
          <w:color w:val="011A3C"/>
          <w:sz w:val="24"/>
          <w:szCs w:val="24"/>
          <w:lang w:eastAsia="en-AU"/>
        </w:rPr>
      </w:pPr>
      <w:hyperlink r:id="rId16" w:history="1">
        <w:r>
          <w:rPr>
            <w:rFonts w:ascii="VIC-Regular" w:eastAsia="Times New Roman" w:hAnsi="VIC-Regular" w:cs="Times New Roman"/>
            <w:color w:val="1855BF"/>
            <w:sz w:val="24"/>
            <w:szCs w:val="24"/>
            <w:lang w:eastAsia="en-AU"/>
          </w:rPr>
          <w:t>Immunisation</w:t>
        </w:r>
      </w:hyperlink>
    </w:p>
    <w:p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VIC-Regular" w:eastAsia="Times New Roman" w:hAnsi="VIC-Regular" w:cs="Times New Roman"/>
          <w:color w:val="011A3C"/>
          <w:sz w:val="24"/>
          <w:szCs w:val="24"/>
          <w:lang w:eastAsia="en-AU"/>
        </w:rPr>
      </w:pPr>
      <w:hyperlink r:id="rId17" w:history="1">
        <w:r>
          <w:rPr>
            <w:rFonts w:ascii="VIC-Regular" w:eastAsia="Times New Roman" w:hAnsi="VIC-Regular" w:cs="Times New Roman"/>
            <w:color w:val="1855BF"/>
            <w:sz w:val="24"/>
            <w:szCs w:val="24"/>
            <w:lang w:eastAsia="en-AU"/>
          </w:rPr>
          <w:t>International Student Program (ISP)</w:t>
        </w:r>
      </w:hyperlink>
    </w:p>
    <w:p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VIC-Regular" w:eastAsia="Times New Roman" w:hAnsi="VIC-Regular" w:cs="Times New Roman"/>
          <w:color w:val="011A3C"/>
          <w:sz w:val="24"/>
          <w:szCs w:val="24"/>
          <w:lang w:eastAsia="en-AU"/>
        </w:rPr>
      </w:pPr>
      <w:hyperlink r:id="rId18" w:history="1">
        <w:r>
          <w:rPr>
            <w:rFonts w:ascii="VIC-Regular" w:eastAsia="Times New Roman" w:hAnsi="VIC-Regular" w:cs="Times New Roman"/>
            <w:color w:val="1855BF"/>
            <w:sz w:val="24"/>
            <w:szCs w:val="24"/>
            <w:lang w:eastAsia="en-AU"/>
          </w:rPr>
          <w:t>Privacy and Information Sharing</w:t>
        </w:r>
      </w:hyperlink>
    </w:p>
    <w:p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VIC-Regular" w:eastAsia="Times New Roman" w:hAnsi="VIC-Regular" w:cs="Times New Roman"/>
          <w:color w:val="011A3C"/>
          <w:sz w:val="24"/>
          <w:szCs w:val="24"/>
          <w:lang w:eastAsia="en-AU"/>
        </w:rPr>
      </w:pPr>
      <w:hyperlink r:id="rId19" w:history="1">
        <w:r>
          <w:rPr>
            <w:rFonts w:ascii="VIC-Regular" w:eastAsia="Times New Roman" w:hAnsi="VIC-Regular" w:cs="Times New Roman"/>
            <w:color w:val="1855BF"/>
            <w:sz w:val="24"/>
            <w:szCs w:val="24"/>
            <w:lang w:eastAsia="en-AU"/>
          </w:rPr>
          <w:t>Suspension</w:t>
        </w:r>
      </w:hyperlink>
    </w:p>
    <w:p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VIC-Regular" w:eastAsia="Times New Roman" w:hAnsi="VIC-Regular" w:cs="Times New Roman"/>
          <w:color w:val="011A3C"/>
          <w:sz w:val="24"/>
          <w:szCs w:val="24"/>
          <w:lang w:eastAsia="en-AU"/>
        </w:rPr>
      </w:pPr>
      <w:hyperlink r:id="rId20" w:history="1">
        <w:r>
          <w:rPr>
            <w:rFonts w:ascii="VIC-Regular" w:eastAsia="Times New Roman" w:hAnsi="VIC-Regular" w:cs="Times New Roman"/>
            <w:color w:val="1855BF"/>
            <w:sz w:val="24"/>
            <w:szCs w:val="24"/>
            <w:lang w:eastAsia="en-AU"/>
          </w:rPr>
          <w:t>Transition — Year 6 to 7</w:t>
        </w:r>
      </w:hyperlink>
    </w:p>
    <w:p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VIC-Regular" w:eastAsia="Times New Roman" w:hAnsi="VIC-Regular" w:cs="Times New Roman"/>
          <w:color w:val="011A3C"/>
          <w:sz w:val="24"/>
          <w:szCs w:val="24"/>
          <w:lang w:eastAsia="en-AU"/>
        </w:rPr>
      </w:pPr>
      <w:hyperlink r:id="rId21" w:history="1">
        <w:r>
          <w:rPr>
            <w:rFonts w:ascii="VIC-Regular" w:eastAsia="Times New Roman" w:hAnsi="VIC-Regular" w:cs="Times New Roman"/>
            <w:color w:val="1855BF"/>
            <w:sz w:val="24"/>
            <w:szCs w:val="24"/>
            <w:lang w:eastAsia="en-AU"/>
          </w:rPr>
          <w:t>Transition — Early Childhood to School</w:t>
        </w:r>
      </w:hyperlink>
    </w:p>
    <w:p>
      <w:pPr>
        <w:spacing w:before="100" w:beforeAutospacing="1" w:after="100" w:afterAutospacing="1" w:line="312" w:lineRule="atLeast"/>
        <w:outlineLvl w:val="1"/>
        <w:rPr>
          <w:rFonts w:ascii="Arial" w:eastAsia="Times New Roman" w:hAnsi="Arial" w:cs="Arial"/>
          <w:color w:val="011A3C"/>
          <w:sz w:val="36"/>
          <w:szCs w:val="36"/>
          <w:lang w:eastAsia="en-AU"/>
        </w:rPr>
      </w:pPr>
      <w:r>
        <w:rPr>
          <w:rFonts w:ascii="Arial" w:eastAsia="Times New Roman" w:hAnsi="Arial" w:cs="Arial"/>
          <w:color w:val="011A3C"/>
          <w:sz w:val="36"/>
          <w:szCs w:val="36"/>
          <w:lang w:eastAsia="en-AU"/>
        </w:rPr>
        <w:t>Relevant legislation</w:t>
      </w:r>
    </w:p>
    <w:p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VIC-Regular" w:eastAsia="Times New Roman" w:hAnsi="VIC-Regular" w:cs="Times New Roman"/>
          <w:color w:val="011A3C"/>
          <w:sz w:val="24"/>
          <w:szCs w:val="24"/>
          <w:lang w:eastAsia="en-AU"/>
        </w:rPr>
      </w:pPr>
      <w:hyperlink r:id="rId22" w:tgtFrame="_blank" w:history="1">
        <w:r>
          <w:rPr>
            <w:rFonts w:ascii="VIC-Regular" w:eastAsia="Times New Roman" w:hAnsi="VIC-Regular" w:cs="Times New Roman"/>
            <w:color w:val="1855BF"/>
            <w:sz w:val="24"/>
            <w:szCs w:val="24"/>
            <w:lang w:eastAsia="en-AU"/>
          </w:rPr>
          <w:t>Education and Training Reform Act 2006 (Vic)</w:t>
        </w:r>
      </w:hyperlink>
    </w:p>
    <w:p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VIC-Regular" w:eastAsia="Times New Roman" w:hAnsi="VIC-Regular" w:cs="Times New Roman"/>
          <w:color w:val="011A3C"/>
          <w:sz w:val="24"/>
          <w:szCs w:val="24"/>
          <w:lang w:eastAsia="en-AU"/>
        </w:rPr>
      </w:pPr>
      <w:hyperlink r:id="rId23" w:tgtFrame="_blank" w:history="1">
        <w:r>
          <w:rPr>
            <w:rFonts w:ascii="VIC-Regular" w:eastAsia="Times New Roman" w:hAnsi="VIC-Regular" w:cs="Times New Roman"/>
            <w:color w:val="1855BF"/>
            <w:sz w:val="24"/>
            <w:szCs w:val="24"/>
            <w:lang w:eastAsia="en-AU"/>
          </w:rPr>
          <w:t>Education and Training Reform Regulations 2017 (Vic)</w:t>
        </w:r>
      </w:hyperlink>
    </w:p>
    <w:p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VIC-Regular" w:eastAsia="Times New Roman" w:hAnsi="VIC-Regular" w:cs="Times New Roman"/>
          <w:color w:val="011A3C"/>
          <w:sz w:val="24"/>
          <w:szCs w:val="24"/>
          <w:lang w:eastAsia="en-AU"/>
        </w:rPr>
      </w:pPr>
      <w:hyperlink r:id="rId24" w:tgtFrame="_blank" w:history="1">
        <w:r>
          <w:rPr>
            <w:rFonts w:ascii="VIC-Regular" w:eastAsia="Times New Roman" w:hAnsi="VIC-Regular" w:cs="Times New Roman"/>
            <w:color w:val="1855BF"/>
            <w:sz w:val="24"/>
            <w:szCs w:val="24"/>
            <w:lang w:eastAsia="en-AU"/>
          </w:rPr>
          <w:t>Family Law Act 1975 (</w:t>
        </w:r>
        <w:proofErr w:type="spellStart"/>
        <w:r>
          <w:rPr>
            <w:rFonts w:ascii="VIC-Regular" w:eastAsia="Times New Roman" w:hAnsi="VIC-Regular" w:cs="Times New Roman"/>
            <w:color w:val="1855BF"/>
            <w:sz w:val="24"/>
            <w:szCs w:val="24"/>
            <w:lang w:eastAsia="en-AU"/>
          </w:rPr>
          <w:t>Cth</w:t>
        </w:r>
        <w:proofErr w:type="spellEnd"/>
        <w:r>
          <w:rPr>
            <w:rFonts w:ascii="VIC-Regular" w:eastAsia="Times New Roman" w:hAnsi="VIC-Regular" w:cs="Times New Roman"/>
            <w:color w:val="1855BF"/>
            <w:sz w:val="24"/>
            <w:szCs w:val="24"/>
            <w:lang w:eastAsia="en-AU"/>
          </w:rPr>
          <w:t>)</w:t>
        </w:r>
      </w:hyperlink>
    </w:p>
    <w:p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VIC-Regular" w:eastAsia="Times New Roman" w:hAnsi="VIC-Regular" w:cs="Times New Roman"/>
          <w:color w:val="011A3C"/>
          <w:sz w:val="24"/>
          <w:szCs w:val="24"/>
          <w:lang w:eastAsia="en-AU"/>
        </w:rPr>
      </w:pPr>
      <w:hyperlink r:id="rId25" w:tgtFrame="_blank" w:history="1">
        <w:r>
          <w:rPr>
            <w:rFonts w:ascii="VIC-Regular" w:eastAsia="Times New Roman" w:hAnsi="VIC-Regular" w:cs="Times New Roman"/>
            <w:color w:val="1855BF"/>
            <w:sz w:val="24"/>
            <w:szCs w:val="24"/>
            <w:lang w:eastAsia="en-AU"/>
          </w:rPr>
          <w:t>Public Health and Wellbeing Act 2008 (Vic)</w:t>
        </w:r>
      </w:hyperlink>
    </w:p>
    <w:p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VIC-Regular" w:eastAsia="Times New Roman" w:hAnsi="VIC-Regular" w:cs="Times New Roman"/>
          <w:color w:val="011A3C"/>
          <w:sz w:val="24"/>
          <w:szCs w:val="24"/>
          <w:lang w:eastAsia="en-AU"/>
        </w:rPr>
      </w:pPr>
      <w:hyperlink r:id="rId26" w:tgtFrame="_blank" w:history="1">
        <w:r>
          <w:rPr>
            <w:rFonts w:ascii="VIC-Regular" w:eastAsia="Times New Roman" w:hAnsi="VIC-Regular" w:cs="Times New Roman"/>
            <w:color w:val="1855BF"/>
            <w:sz w:val="24"/>
            <w:szCs w:val="24"/>
            <w:lang w:eastAsia="en-AU"/>
          </w:rPr>
          <w:t>Public Health and Wellbeing Regulations 2019 (Vic)</w:t>
        </w:r>
      </w:hyperlink>
    </w:p>
    <w:p>
      <w:pPr>
        <w:spacing w:before="100" w:beforeAutospacing="1" w:after="100" w:afterAutospacing="1" w:line="312" w:lineRule="atLeast"/>
        <w:outlineLvl w:val="1"/>
        <w:rPr>
          <w:rFonts w:ascii="Arial" w:eastAsia="Times New Roman" w:hAnsi="Arial" w:cs="Arial"/>
          <w:color w:val="011A3C"/>
          <w:sz w:val="36"/>
          <w:szCs w:val="36"/>
          <w:lang w:eastAsia="en-AU"/>
        </w:rPr>
      </w:pPr>
      <w:r>
        <w:rPr>
          <w:rFonts w:ascii="Arial" w:eastAsia="Times New Roman" w:hAnsi="Arial" w:cs="Arial"/>
          <w:color w:val="011A3C"/>
          <w:sz w:val="36"/>
          <w:szCs w:val="36"/>
          <w:lang w:eastAsia="en-AU"/>
        </w:rPr>
        <w:t>Contacts</w:t>
      </w:r>
    </w:p>
    <w:p>
      <w:pPr>
        <w:spacing w:before="100" w:beforeAutospacing="1" w:after="100" w:afterAutospacing="1" w:line="240" w:lineRule="auto"/>
        <w:rPr>
          <w:rFonts w:ascii="VIC-Regular" w:eastAsia="Times New Roman" w:hAnsi="VIC-Regular" w:cs="Times New Roman"/>
          <w:color w:val="011A3C"/>
          <w:sz w:val="24"/>
          <w:szCs w:val="24"/>
          <w:lang w:eastAsia="en-AU"/>
        </w:rPr>
      </w:pPr>
      <w:r>
        <w:rPr>
          <w:rFonts w:ascii="VIC-Regular" w:eastAsia="Times New Roman" w:hAnsi="VIC-Regular" w:cs="Times New Roman"/>
          <w:color w:val="011A3C"/>
          <w:sz w:val="24"/>
          <w:szCs w:val="24"/>
          <w:lang w:eastAsia="en-AU"/>
        </w:rPr>
        <w:t>For support with specific enrolment queries, schools may contact the relevant Area Executive Director in the applicable regional office. Refer to </w:t>
      </w:r>
      <w:hyperlink r:id="rId27" w:tgtFrame="_blank" w:history="1">
        <w:r>
          <w:rPr>
            <w:rFonts w:ascii="VIC-Regular" w:eastAsia="Times New Roman" w:hAnsi="VIC-Regular" w:cs="Times New Roman"/>
            <w:color w:val="1855BF"/>
            <w:sz w:val="24"/>
            <w:szCs w:val="24"/>
            <w:lang w:eastAsia="en-AU"/>
          </w:rPr>
          <w:t>Our office locations</w:t>
        </w:r>
      </w:hyperlink>
      <w:r>
        <w:rPr>
          <w:rFonts w:ascii="VIC-Regular" w:eastAsia="Times New Roman" w:hAnsi="VIC-Regular" w:cs="Times New Roman"/>
          <w:color w:val="011A3C"/>
          <w:sz w:val="24"/>
          <w:szCs w:val="24"/>
          <w:lang w:eastAsia="en-AU"/>
        </w:rPr>
        <w:t> for specific contact details for a particular regional office.</w:t>
      </w:r>
    </w:p>
    <w:p>
      <w:pPr>
        <w:spacing w:before="100" w:beforeAutospacing="1" w:after="100" w:afterAutospacing="1" w:line="240" w:lineRule="auto"/>
        <w:rPr>
          <w:rFonts w:ascii="VIC-Regular" w:eastAsia="Times New Roman" w:hAnsi="VIC-Regular" w:cs="Times New Roman"/>
          <w:color w:val="011A3C"/>
          <w:sz w:val="24"/>
          <w:szCs w:val="24"/>
          <w:lang w:eastAsia="en-AU"/>
        </w:rPr>
      </w:pPr>
      <w:r>
        <w:rPr>
          <w:rFonts w:ascii="VIC-Regular" w:eastAsia="Times New Roman" w:hAnsi="VIC-Regular" w:cs="Times New Roman"/>
          <w:color w:val="011A3C"/>
          <w:sz w:val="24"/>
          <w:szCs w:val="24"/>
          <w:lang w:eastAsia="en-AU"/>
        </w:rPr>
        <w:t>For general queries or feedback about this Enrolment Policy please contact the School Provision and Establishment Division via the Victorian School Building Authority on:</w:t>
      </w:r>
    </w:p>
    <w:p>
      <w:pPr>
        <w:spacing w:before="100" w:beforeAutospacing="1" w:after="100" w:afterAutospacing="1" w:line="240" w:lineRule="auto"/>
        <w:rPr>
          <w:rFonts w:ascii="VIC-Regular" w:eastAsia="Times New Roman" w:hAnsi="VIC-Regular" w:cs="Times New Roman"/>
          <w:color w:val="011A3C"/>
          <w:sz w:val="24"/>
          <w:szCs w:val="24"/>
          <w:lang w:eastAsia="en-AU"/>
        </w:rPr>
      </w:pPr>
      <w:r>
        <w:rPr>
          <w:rFonts w:ascii="VIC-Regular" w:eastAsia="Times New Roman" w:hAnsi="VIC-Regular" w:cs="Times New Roman"/>
          <w:color w:val="011A3C"/>
          <w:sz w:val="24"/>
          <w:szCs w:val="24"/>
          <w:lang w:eastAsia="en-AU"/>
        </w:rPr>
        <w:t>Tel: </w:t>
      </w:r>
      <w:hyperlink r:id="rId28" w:history="1">
        <w:r>
          <w:rPr>
            <w:rFonts w:ascii="VIC-Regular" w:eastAsia="Times New Roman" w:hAnsi="VIC-Regular" w:cs="Times New Roman"/>
            <w:color w:val="1855BF"/>
            <w:sz w:val="24"/>
            <w:szCs w:val="24"/>
            <w:lang w:eastAsia="en-AU"/>
          </w:rPr>
          <w:t>1800 896 950</w:t>
        </w:r>
      </w:hyperlink>
    </w:p>
    <w:p>
      <w:pPr>
        <w:spacing w:before="100" w:beforeAutospacing="1" w:after="100" w:afterAutospacing="1" w:line="240" w:lineRule="auto"/>
        <w:rPr>
          <w:rFonts w:ascii="VIC-Regular" w:eastAsia="Times New Roman" w:hAnsi="VIC-Regular" w:cs="Times New Roman"/>
          <w:color w:val="011A3C"/>
          <w:sz w:val="24"/>
          <w:szCs w:val="24"/>
          <w:lang w:eastAsia="en-AU"/>
        </w:rPr>
      </w:pPr>
      <w:r>
        <w:rPr>
          <w:rFonts w:ascii="VIC-Regular" w:eastAsia="Times New Roman" w:hAnsi="VIC-Regular" w:cs="Times New Roman"/>
          <w:color w:val="011A3C"/>
          <w:sz w:val="24"/>
          <w:szCs w:val="24"/>
          <w:lang w:eastAsia="en-AU"/>
        </w:rPr>
        <w:t>Email: </w:t>
      </w:r>
      <w:hyperlink r:id="rId29" w:history="1">
        <w:r>
          <w:rPr>
            <w:rFonts w:ascii="VIC-Regular" w:eastAsia="Times New Roman" w:hAnsi="VIC-Regular" w:cs="Times New Roman"/>
            <w:color w:val="1855BF"/>
            <w:sz w:val="24"/>
            <w:szCs w:val="24"/>
            <w:lang w:eastAsia="en-AU"/>
          </w:rPr>
          <w:t>vsba@education.vic.gov.au</w:t>
        </w:r>
      </w:hyperlink>
    </w:p>
    <w:p/>
    <w:sectPr>
      <w:headerReference w:type="default" r:id="rId30"/>
      <w:type w:val="nextColumn"/>
      <w:pgSz w:w="12240" w:h="15840" w:code="1"/>
      <w:pgMar w:top="3232" w:right="879" w:bottom="454" w:left="879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C-Regular">
    <w:altName w:val="Calibri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  <w:ind w:left="720"/>
    </w:pPr>
    <w:r>
      <w:rPr>
        <w:noProof/>
        <w:lang w:val="en-AU" w:eastAsia="en-AU"/>
      </w:rPr>
      <mc:AlternateContent>
        <mc:Choice Requires="wps">
          <w:drawing>
            <wp:anchor distT="36576" distB="36576" distL="36576" distR="36576" simplePos="0" relativeHeight="251655680" behindDoc="0" locked="0" layoutInCell="1" allowOverlap="1">
              <wp:simplePos x="0" y="0"/>
              <wp:positionH relativeFrom="page">
                <wp:posOffset>2536825</wp:posOffset>
              </wp:positionH>
              <wp:positionV relativeFrom="page">
                <wp:posOffset>466090</wp:posOffset>
              </wp:positionV>
              <wp:extent cx="4664710" cy="607060"/>
              <wp:effectExtent l="3175" t="0" r="0" b="3175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4664710" cy="607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>
                          <w:pPr>
                            <w:spacing w:after="0" w:line="240" w:lineRule="auto"/>
                            <w:jc w:val="center"/>
                            <w:rPr>
                              <w:rFonts w:ascii="Tahoma" w:eastAsia="Arial Unicode MS" w:hAnsi="Tahoma" w:cs="Tahoma"/>
                              <w:bCs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Tahoma" w:eastAsia="Arial Unicode MS" w:hAnsi="Tahoma" w:cs="Tahoma"/>
                              <w:bCs/>
                              <w:sz w:val="40"/>
                              <w:szCs w:val="40"/>
                            </w:rPr>
                            <w:t>Enrolment Policy</w:t>
                          </w:r>
                        </w:p>
                      </w:txbxContent>
                    </wps:txbx>
                    <wps:bodyPr rot="0" vert="horz" wrap="square" lIns="36195" tIns="0" rIns="36195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99.75pt;margin-top:36.7pt;width:367.3pt;height:47.8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" stroked="f" strokeweight="0" insetpen="t">
              <v:shadow color="#ccc"/>
              <o:lock v:ext="edit" shapetype="t"/>
              <v:textbox inset="2.85pt,0,2.85pt,0">
                <w:txbxContent>
                  <w:p>
                    <w:pPr>
                      <w:spacing w:after="0" w:line="240" w:lineRule="auto"/>
                      <w:jc w:val="center"/>
                      <w:rPr>
                        <w:rFonts w:ascii="Tahoma" w:eastAsia="Arial Unicode MS" w:hAnsi="Tahoma" w:cs="Tahoma"/>
                        <w:bCs/>
                        <w:sz w:val="40"/>
                        <w:szCs w:val="40"/>
                      </w:rPr>
                    </w:pPr>
                    <w:r>
                      <w:rPr>
                        <w:rFonts w:ascii="Tahoma" w:eastAsia="Arial Unicode MS" w:hAnsi="Tahoma" w:cs="Tahoma"/>
                        <w:bCs/>
                        <w:sz w:val="40"/>
                        <w:szCs w:val="40"/>
                      </w:rPr>
                      <w:t>Enrolment Policy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36576" distB="36576" distL="36576" distR="36576" simplePos="0" relativeHeight="251654656" behindDoc="0" locked="0" layoutInCell="1" allowOverlap="1">
              <wp:simplePos x="0" y="0"/>
              <wp:positionH relativeFrom="page">
                <wp:posOffset>2581910</wp:posOffset>
              </wp:positionH>
              <wp:positionV relativeFrom="page">
                <wp:posOffset>611505</wp:posOffset>
              </wp:positionV>
              <wp:extent cx="2845435" cy="461645"/>
              <wp:effectExtent l="3175" t="1905" r="1905" b="3175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2845435" cy="461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>
                          <w:pPr>
                            <w:pStyle w:val="Address1"/>
                          </w:pPr>
                        </w:p>
                      </w:txbxContent>
                    </wps:txbx>
                    <wps:bodyPr rot="0" vert="horz" wrap="square" lIns="36195" tIns="0" rIns="36195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203.3pt;margin-top:48.15pt;width:224.05pt;height:36.35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" stroked="f" strokeweight="0" insetpen="t">
              <v:shadow color="#ccc"/>
              <o:lock v:ext="edit" shapetype="t"/>
              <v:textbox inset="2.85pt,0,2.85pt,0">
                <w:txbxContent>
                  <w:p>
                    <w:pPr>
                      <w:pStyle w:val="Address1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36195</wp:posOffset>
              </wp:positionH>
              <wp:positionV relativeFrom="paragraph">
                <wp:posOffset>630555</wp:posOffset>
              </wp:positionV>
              <wp:extent cx="6629400" cy="800100"/>
              <wp:effectExtent l="19050" t="19050" r="19050" b="19050"/>
              <wp:wrapNone/>
              <wp:docPr id="4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9400" cy="800100"/>
                        <a:chOff x="935" y="1713"/>
                        <a:chExt cx="10440" cy="1260"/>
                      </a:xfrm>
                      <a:solidFill>
                        <a:srgbClr val="B3BEF7"/>
                      </a:solidFill>
                    </wpg:grpSpPr>
                    <wps:wsp>
                      <wps:cNvPr id="5" name="AutoShape 5"/>
                      <wps:cNvSpPr>
                        <a:spLocks noChangeArrowheads="1" noChangeShapeType="1"/>
                      </wps:cNvSpPr>
                      <wps:spPr bwMode="auto">
                        <a:xfrm>
                          <a:off x="4910" y="2028"/>
                          <a:ext cx="4688" cy="945"/>
                        </a:xfrm>
                        <a:prstGeom prst="roundRect">
                          <a:avLst>
                            <a:gd name="adj" fmla="val 48759"/>
                          </a:avLst>
                        </a:prstGeom>
                        <a:grpFill/>
                        <a:ln w="38100" cmpd="sng" algn="in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6" name="Rectangle 6"/>
                      <wps:cNvSpPr>
                        <a:spLocks noChangeArrowheads="1" noChangeShapeType="1"/>
                      </wps:cNvSpPr>
                      <wps:spPr bwMode="auto">
                        <a:xfrm>
                          <a:off x="3995" y="1713"/>
                          <a:ext cx="7380" cy="742"/>
                        </a:xfrm>
                        <a:prstGeom prst="rect">
                          <a:avLst/>
                        </a:prstGeom>
                        <a:grpFill/>
                        <a:ln w="38100" cmpd="sng" algn="in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7" name="AutoShape 7"/>
                      <wps:cNvSpPr>
                        <a:spLocks noChangeArrowheads="1" noChangeShapeType="1"/>
                      </wps:cNvSpPr>
                      <wps:spPr bwMode="auto">
                        <a:xfrm>
                          <a:off x="935" y="2051"/>
                          <a:ext cx="9915" cy="397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grpFill/>
                        <a:ln w="38100" cmpd="sng" algn="in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" o:spid="_x0000_s1026" style="position:absolute;margin-left:2.85pt;margin-top:49.65pt;width:522pt;height:63pt;z-index:251657216" coordorigin="935,1713" coordsize="1044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">
              <v:roundrect id="AutoShape 5" o:spid="_x0000_s1027" style="position:absolute;left:4910;top:2028;width:4688;height:945;visibility:visible;mso-wrap-style:square;v-text-anchor:top" arcsize="319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" filled="f" strokecolor="#f2f2f2 [3041]" strokeweight="3pt" insetpen="t">
                <v:shadow color="#243f60 [1604]" opacity=".5" offset="1pt"/>
                <o:lock v:ext="edit" shapetype="t"/>
                <v:textbox inset="2.88pt,2.88pt,2.88pt,2.88pt"/>
              </v:roundrect>
              <v:rect id="Rectangle 6" o:spid="_x0000_s1028" style="position:absolute;left:3995;top:1713;width:7380;height:7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" filled="f" strokecolor="#f2f2f2 [3041]" strokeweight="3pt" insetpen="t">
                <v:shadow color="#243f60 [1604]" opacity=".5" offset="1pt"/>
                <o:lock v:ext="edit" shapetype="t"/>
                <v:textbox inset="2.88pt,2.88pt,2.88pt,2.88pt"/>
              </v:rect>
              <v:roundrect id="AutoShape 7" o:spid="_x0000_s1029" style="position:absolute;left:935;top:2051;width:9915;height:397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" filled="f" strokecolor="#f2f2f2 [3041]" strokeweight="3pt" insetpen="t">
                <v:shadow color="#243f60 [1604]" opacity=".5" offset="1pt"/>
                <o:lock v:ext="edit" shapetype="t"/>
                <v:textbox inset="2.88pt,2.88pt,2.88pt,2.88pt"/>
              </v:roundrect>
            </v:group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page">
                <wp:posOffset>854710</wp:posOffset>
              </wp:positionH>
              <wp:positionV relativeFrom="page">
                <wp:posOffset>567055</wp:posOffset>
              </wp:positionV>
              <wp:extent cx="1023620" cy="534670"/>
              <wp:effectExtent l="0" t="0" r="0" b="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3620" cy="534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>
                          <w:r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>
                                <wp:extent cx="840105" cy="443865"/>
                                <wp:effectExtent l="0" t="0" r="0" b="0"/>
                                <wp:docPr id="11" name="Picture 2" descr="U:\0aaaJennyDavey\Logo &amp; letterheads\Transp Toolamba PS Logo (K) livetraced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U:\0aaaJennyDavey\Logo &amp; letterheads\Transp Toolamba PS Logo (K) livetraced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0105" cy="443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28" type="#_x0000_t202" style="position:absolute;left:0;text-align:left;margin-left:67.3pt;margin-top:44.65pt;width:80.6pt;height:42.1pt;z-index:25165977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" filled="f" stroked="f">
              <v:textbox style="mso-fit-shape-to-text:t">
                <w:txbxContent>
                  <w:p>
                    <w:r>
                      <w:rPr>
                        <w:noProof/>
                        <w:lang w:eastAsia="en-AU"/>
                      </w:rPr>
                      <w:drawing>
                        <wp:inline distT="0" distB="0" distL="0" distR="0">
                          <wp:extent cx="840105" cy="443865"/>
                          <wp:effectExtent l="0" t="0" r="0" b="0"/>
                          <wp:docPr id="11" name="Picture 2" descr="U:\0aaaJennyDavey\Logo &amp; letterheads\Transp Toolamba PS Logo (K) livetraced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U:\0aaaJennyDavey\Logo &amp; letterheads\Transp Toolamba PS Logo (K) livetraced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0105" cy="443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805180</wp:posOffset>
              </wp:positionH>
              <wp:positionV relativeFrom="page">
                <wp:posOffset>1288415</wp:posOffset>
              </wp:positionV>
              <wp:extent cx="4259580" cy="269240"/>
              <wp:effectExtent l="0" t="2540" r="2540" b="4445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9580" cy="269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>
                          <w:pPr>
                            <w:pStyle w:val="Heading1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Toolamba PS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9" type="#_x0000_t202" style="position:absolute;left:0;text-align:left;margin-left:63.4pt;margin-top:101.45pt;width:335.4pt;height:21.2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" filled="f" stroked="f">
              <v:textbox style="mso-fit-shape-to-text:t">
                <w:txbxContent>
                  <w:p>
                    <w:pPr>
                      <w:pStyle w:val="Heading1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Toolamba PS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36576" distB="36576" distL="36576" distR="36576" simplePos="0" relativeHeight="251657728" behindDoc="0" locked="0" layoutInCell="1" allowOverlap="1">
              <wp:simplePos x="0" y="0"/>
              <wp:positionH relativeFrom="page">
                <wp:posOffset>6794500</wp:posOffset>
              </wp:positionH>
              <wp:positionV relativeFrom="page">
                <wp:posOffset>1293495</wp:posOffset>
              </wp:positionV>
              <wp:extent cx="428625" cy="596900"/>
              <wp:effectExtent l="3175" t="0" r="0" b="0"/>
              <wp:wrapNone/>
              <wp:docPr id="1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 noChangeShapeType="1"/>
                    </wps:cNvSpPr>
                    <wps:spPr bwMode="auto">
                      <a:xfrm>
                        <a:off x="0" y="0"/>
                        <a:ext cx="428625" cy="596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535pt;margin-top:101.85pt;width:33.75pt;height:47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" stroked="f" strokeweight="0" insetpen="t">
              <v:shadow color="#ccc"/>
              <o:lock v:ext="edit" shapetype="t"/>
              <v:textbox inset="2.88pt,2.88pt,2.88pt,2.88p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61B3"/>
    <w:multiLevelType w:val="multilevel"/>
    <w:tmpl w:val="CC9E4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364001"/>
    <w:multiLevelType w:val="multilevel"/>
    <w:tmpl w:val="37C60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4804277"/>
    <w:multiLevelType w:val="multilevel"/>
    <w:tmpl w:val="0D8AD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D96D67"/>
    <w:multiLevelType w:val="multilevel"/>
    <w:tmpl w:val="8DDCD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691310"/>
    <w:multiLevelType w:val="multilevel"/>
    <w:tmpl w:val="1FD6B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DE0B2A"/>
    <w:multiLevelType w:val="multilevel"/>
    <w:tmpl w:val="D4682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070657"/>
    <w:multiLevelType w:val="multilevel"/>
    <w:tmpl w:val="E6E45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7A114A"/>
    <w:multiLevelType w:val="multilevel"/>
    <w:tmpl w:val="0C9C2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1E64C5"/>
    <w:multiLevelType w:val="multilevel"/>
    <w:tmpl w:val="44001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EAE7463"/>
    <w:multiLevelType w:val="multilevel"/>
    <w:tmpl w:val="9E722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FD51E6"/>
    <w:multiLevelType w:val="multilevel"/>
    <w:tmpl w:val="67BE7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571A45"/>
    <w:multiLevelType w:val="multilevel"/>
    <w:tmpl w:val="152A2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181DA9"/>
    <w:multiLevelType w:val="multilevel"/>
    <w:tmpl w:val="1D1C0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C450DA"/>
    <w:multiLevelType w:val="multilevel"/>
    <w:tmpl w:val="087AA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DA32DE"/>
    <w:multiLevelType w:val="multilevel"/>
    <w:tmpl w:val="4120F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412740"/>
    <w:multiLevelType w:val="multilevel"/>
    <w:tmpl w:val="D428B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71D152C"/>
    <w:multiLevelType w:val="multilevel"/>
    <w:tmpl w:val="B63EE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D17230"/>
    <w:multiLevelType w:val="multilevel"/>
    <w:tmpl w:val="B70E2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FFD19BA"/>
    <w:multiLevelType w:val="multilevel"/>
    <w:tmpl w:val="44062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AC6214"/>
    <w:multiLevelType w:val="multilevel"/>
    <w:tmpl w:val="EF787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9C31344"/>
    <w:multiLevelType w:val="multilevel"/>
    <w:tmpl w:val="82347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DB31B13"/>
    <w:multiLevelType w:val="multilevel"/>
    <w:tmpl w:val="98E88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6302FDE"/>
    <w:multiLevelType w:val="multilevel"/>
    <w:tmpl w:val="1876B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90F6D5A"/>
    <w:multiLevelType w:val="multilevel"/>
    <w:tmpl w:val="D6D09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A4976C6"/>
    <w:multiLevelType w:val="multilevel"/>
    <w:tmpl w:val="BA82B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AF06FA2"/>
    <w:multiLevelType w:val="multilevel"/>
    <w:tmpl w:val="C5DAF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2BA33BF"/>
    <w:multiLevelType w:val="multilevel"/>
    <w:tmpl w:val="D0A28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3B97A6A"/>
    <w:multiLevelType w:val="multilevel"/>
    <w:tmpl w:val="0CEAB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6842EED"/>
    <w:multiLevelType w:val="multilevel"/>
    <w:tmpl w:val="FEBE8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9040143"/>
    <w:multiLevelType w:val="multilevel"/>
    <w:tmpl w:val="2B524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AE8037F"/>
    <w:multiLevelType w:val="multilevel"/>
    <w:tmpl w:val="8604E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BC06C92"/>
    <w:multiLevelType w:val="multilevel"/>
    <w:tmpl w:val="B9ACA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D202735"/>
    <w:multiLevelType w:val="multilevel"/>
    <w:tmpl w:val="91807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E520EDB"/>
    <w:multiLevelType w:val="multilevel"/>
    <w:tmpl w:val="4E269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1466609"/>
    <w:multiLevelType w:val="multilevel"/>
    <w:tmpl w:val="596AC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5534D22"/>
    <w:multiLevelType w:val="multilevel"/>
    <w:tmpl w:val="AAD2E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90C166E"/>
    <w:multiLevelType w:val="multilevel"/>
    <w:tmpl w:val="42E4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55164950">
    <w:abstractNumId w:val="32"/>
  </w:num>
  <w:num w:numId="2" w16cid:durableId="1381780626">
    <w:abstractNumId w:val="24"/>
  </w:num>
  <w:num w:numId="3" w16cid:durableId="1549146501">
    <w:abstractNumId w:val="27"/>
  </w:num>
  <w:num w:numId="4" w16cid:durableId="939024803">
    <w:abstractNumId w:val="2"/>
  </w:num>
  <w:num w:numId="5" w16cid:durableId="371613975">
    <w:abstractNumId w:val="12"/>
  </w:num>
  <w:num w:numId="6" w16cid:durableId="1743718278">
    <w:abstractNumId w:val="23"/>
  </w:num>
  <w:num w:numId="7" w16cid:durableId="1185632231">
    <w:abstractNumId w:val="15"/>
  </w:num>
  <w:num w:numId="8" w16cid:durableId="747656161">
    <w:abstractNumId w:val="31"/>
  </w:num>
  <w:num w:numId="9" w16cid:durableId="1475025119">
    <w:abstractNumId w:val="10"/>
  </w:num>
  <w:num w:numId="10" w16cid:durableId="1951163618">
    <w:abstractNumId w:val="14"/>
  </w:num>
  <w:num w:numId="11" w16cid:durableId="421144755">
    <w:abstractNumId w:val="20"/>
  </w:num>
  <w:num w:numId="12" w16cid:durableId="1890728843">
    <w:abstractNumId w:val="28"/>
  </w:num>
  <w:num w:numId="13" w16cid:durableId="1951545528">
    <w:abstractNumId w:val="16"/>
  </w:num>
  <w:num w:numId="14" w16cid:durableId="1679771472">
    <w:abstractNumId w:val="18"/>
  </w:num>
  <w:num w:numId="15" w16cid:durableId="278336654">
    <w:abstractNumId w:val="0"/>
  </w:num>
  <w:num w:numId="16" w16cid:durableId="1033651400">
    <w:abstractNumId w:val="35"/>
  </w:num>
  <w:num w:numId="17" w16cid:durableId="617221742">
    <w:abstractNumId w:val="5"/>
  </w:num>
  <w:num w:numId="18" w16cid:durableId="1291978453">
    <w:abstractNumId w:val="17"/>
  </w:num>
  <w:num w:numId="19" w16cid:durableId="1275210585">
    <w:abstractNumId w:val="11"/>
  </w:num>
  <w:num w:numId="20" w16cid:durableId="1788235812">
    <w:abstractNumId w:val="34"/>
  </w:num>
  <w:num w:numId="21" w16cid:durableId="168570506">
    <w:abstractNumId w:val="36"/>
  </w:num>
  <w:num w:numId="22" w16cid:durableId="2145535541">
    <w:abstractNumId w:val="1"/>
  </w:num>
  <w:num w:numId="23" w16cid:durableId="2027560843">
    <w:abstractNumId w:val="13"/>
  </w:num>
  <w:num w:numId="24" w16cid:durableId="29844081">
    <w:abstractNumId w:val="4"/>
  </w:num>
  <w:num w:numId="25" w16cid:durableId="617297674">
    <w:abstractNumId w:val="30"/>
  </w:num>
  <w:num w:numId="26" w16cid:durableId="1155417655">
    <w:abstractNumId w:val="9"/>
  </w:num>
  <w:num w:numId="27" w16cid:durableId="362288483">
    <w:abstractNumId w:val="6"/>
  </w:num>
  <w:num w:numId="28" w16cid:durableId="1081755630">
    <w:abstractNumId w:val="3"/>
  </w:num>
  <w:num w:numId="29" w16cid:durableId="1738288154">
    <w:abstractNumId w:val="29"/>
  </w:num>
  <w:num w:numId="30" w16cid:durableId="1160581516">
    <w:abstractNumId w:val="33"/>
  </w:num>
  <w:num w:numId="31" w16cid:durableId="876740665">
    <w:abstractNumId w:val="21"/>
  </w:num>
  <w:num w:numId="32" w16cid:durableId="324430810">
    <w:abstractNumId w:val="19"/>
  </w:num>
  <w:num w:numId="33" w16cid:durableId="1318609741">
    <w:abstractNumId w:val="7"/>
  </w:num>
  <w:num w:numId="34" w16cid:durableId="147601969">
    <w:abstractNumId w:val="22"/>
  </w:num>
  <w:num w:numId="35" w16cid:durableId="589890298">
    <w:abstractNumId w:val="25"/>
  </w:num>
  <w:num w:numId="36" w16cid:durableId="1400832503">
    <w:abstractNumId w:val="8"/>
  </w:num>
  <w:num w:numId="37" w16cid:durableId="466898110">
    <w:abstractNumId w:val="2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457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8E8E49E5-BABE-4FA4-90B7-27E2B51E3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Normal"/>
    <w:qFormat/>
    <w:pPr>
      <w:spacing w:before="100" w:beforeAutospacing="1" w:line="280" w:lineRule="exact"/>
      <w:outlineLvl w:val="0"/>
    </w:pPr>
    <w:rPr>
      <w:rFonts w:ascii="Lucida Sans Unicode" w:hAnsi="Lucida Sans Unicode" w:cs="Arial"/>
      <w:b/>
      <w:color w:val="FFFFFF"/>
      <w:spacing w:val="20"/>
      <w:kern w:val="28"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qFormat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000000"/>
      <w:kern w:val="28"/>
      <w:sz w:val="28"/>
      <w:szCs w:val="28"/>
      <w:lang w:val="en-US"/>
    </w:rPr>
  </w:style>
  <w:style w:type="paragraph" w:styleId="Heading3">
    <w:name w:val="heading 3"/>
    <w:basedOn w:val="Normal"/>
    <w:next w:val="Normal"/>
    <w:qFormat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color w:val="000000"/>
      <w:kern w:val="28"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paragraph" w:customStyle="1" w:styleId="Address1">
    <w:name w:val="Address 1"/>
    <w:next w:val="Normal"/>
    <w:rPr>
      <w:rFonts w:ascii="Tahoma" w:hAnsi="Tahoma" w:cs="Arial"/>
      <w:spacing w:val="10"/>
      <w:kern w:val="28"/>
      <w:sz w:val="16"/>
      <w:szCs w:val="1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eastAsia="Times New Roman" w:hAnsi="Tahoma" w:cs="Tahoma"/>
      <w:color w:val="000000"/>
      <w:kern w:val="28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000000"/>
      <w:kern w:val="28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2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4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1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83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697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58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51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00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15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2075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6330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9020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3213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5743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7824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education.vic.gov.au/pal/enrolment/guidance" TargetMode="External"/><Relationship Id="rId13" Type="http://schemas.openxmlformats.org/officeDocument/2006/relationships/hyperlink" Target="https://www2.education.vic.gov.au/pal/exemption-school-attendance-and-enrolment" TargetMode="External"/><Relationship Id="rId18" Type="http://schemas.openxmlformats.org/officeDocument/2006/relationships/hyperlink" Target="https://www2.education.vic.gov.au/pal/privacy-information-sharing" TargetMode="External"/><Relationship Id="rId26" Type="http://schemas.openxmlformats.org/officeDocument/2006/relationships/hyperlink" Target="https://www.legislation.vic.gov.au/in-force/statutory-rules/public-health-and-wellbeing-regulations-2019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2.education.vic.gov.au/pal/transition-early-childhood-schoo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2.education.vic.gov.au/pal/decision-making-responsibilities-students/policy" TargetMode="External"/><Relationship Id="rId17" Type="http://schemas.openxmlformats.org/officeDocument/2006/relationships/hyperlink" Target="https://www2.education.vic.gov.au/node/1192" TargetMode="External"/><Relationship Id="rId25" Type="http://schemas.openxmlformats.org/officeDocument/2006/relationships/hyperlink" Target="https://www.legislation.vic.gov.au/in-force/acts/public-health-and-wellbeing-act-200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2.education.vic.gov.au/pal/immunisation/policy" TargetMode="External"/><Relationship Id="rId20" Type="http://schemas.openxmlformats.org/officeDocument/2006/relationships/hyperlink" Target="https://www2.education.vic.gov.au/node/1807" TargetMode="External"/><Relationship Id="rId29" Type="http://schemas.openxmlformats.org/officeDocument/2006/relationships/hyperlink" Target="mailto:vsba@education.vic.gov.a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2.education.vic.gov.au/node/29" TargetMode="External"/><Relationship Id="rId24" Type="http://schemas.openxmlformats.org/officeDocument/2006/relationships/hyperlink" Target="https://www.legislation.gov.au/Details/C2019C00101/Html/Volume_1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2.education.vic.gov.au/pal/home-schooling-and-partial-enrolments/policy" TargetMode="External"/><Relationship Id="rId23" Type="http://schemas.openxmlformats.org/officeDocument/2006/relationships/hyperlink" Target="https://www.legislation.vic.gov.au/in-force/statutory-rules/education-and-training-reform-regulations-2017" TargetMode="External"/><Relationship Id="rId28" Type="http://schemas.openxmlformats.org/officeDocument/2006/relationships/hyperlink" Target="tel:1800896950" TargetMode="External"/><Relationship Id="rId10" Type="http://schemas.openxmlformats.org/officeDocument/2006/relationships/hyperlink" Target="https://www2.education.vic.gov.au/pal/exemption-school-attendance-and-enrolment/policy" TargetMode="External"/><Relationship Id="rId19" Type="http://schemas.openxmlformats.org/officeDocument/2006/relationships/hyperlink" Target="https://www2.education.vic.gov.au/pal/suspensions/policy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2.education.vic.gov.au/pal/transition-year-6-7/policy" TargetMode="External"/><Relationship Id="rId14" Type="http://schemas.openxmlformats.org/officeDocument/2006/relationships/hyperlink" Target="https://www2.education.vic.gov.au/pal/expulsions/policy" TargetMode="External"/><Relationship Id="rId22" Type="http://schemas.openxmlformats.org/officeDocument/2006/relationships/hyperlink" Target="https://www.legislation.vic.gov.au/in-force/acts/education-and-training-reform-act-2006" TargetMode="External"/><Relationship Id="rId27" Type="http://schemas.openxmlformats.org/officeDocument/2006/relationships/hyperlink" Target="https://www.education.vic.gov.au/about/contact/Pages/regions.aspx" TargetMode="Externa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01317671\AppData\Roaming\Microsoft\Template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51DE4-F256-4B0D-B2AA-8182963BF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2</TotalTime>
  <Pages>2</Pages>
  <Words>406</Words>
  <Characters>4441</Characters>
  <Application>Microsoft Office Word</Application>
  <DocSecurity>0</DocSecurity>
  <Lines>37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Kennedy, Heather J</dc:creator>
  <cp:lastModifiedBy>Heather Kennedy</cp:lastModifiedBy>
  <cp:revision>2</cp:revision>
  <cp:lastPrinted>2019-03-04T22:05:00Z</cp:lastPrinted>
  <dcterms:created xsi:type="dcterms:W3CDTF">2022-07-15T04:33:00Z</dcterms:created>
  <dcterms:modified xsi:type="dcterms:W3CDTF">2022-07-15T04:33:00Z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TC060874441033</vt:lpwstr>
  </property>
</Properties>
</file>