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3021" w14:textId="77777777" w:rsidR="0050299A" w:rsidRPr="00BB7B33" w:rsidRDefault="0050299A"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1D7634" w14:paraId="36E91BC8" w14:textId="77777777" w:rsidTr="00E55ECD">
        <w:trPr>
          <w:trHeight w:val="8976"/>
        </w:trPr>
        <w:tc>
          <w:tcPr>
            <w:tcW w:w="3178" w:type="dxa"/>
          </w:tcPr>
          <w:p w14:paraId="13BE3C34" w14:textId="77777777" w:rsidR="0050299A" w:rsidRPr="00BB7B33" w:rsidRDefault="0050299A"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7C99B67A" wp14:editId="2FFA5763">
                  <wp:simplePos x="0" y="0"/>
                  <wp:positionH relativeFrom="page">
                    <wp:align>center</wp:align>
                  </wp:positionH>
                  <wp:positionV relativeFrom="paragraph">
                    <wp:posOffset>0</wp:posOffset>
                  </wp:positionV>
                  <wp:extent cx="1428949" cy="1076475"/>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1076475"/>
                          </a:xfrm>
                          <a:prstGeom prst="rect">
                            <a:avLst/>
                          </a:prstGeom>
                        </pic:spPr>
                      </pic:pic>
                    </a:graphicData>
                  </a:graphic>
                </wp:anchor>
              </w:drawing>
            </w:r>
          </w:p>
        </w:tc>
        <w:tc>
          <w:tcPr>
            <w:tcW w:w="6229" w:type="dxa"/>
          </w:tcPr>
          <w:p w14:paraId="0418650B" w14:textId="77777777" w:rsidR="0050299A" w:rsidRPr="00BB7B33" w:rsidRDefault="0050299A"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31F74E8D" wp14:editId="778D4C0A">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1D7634" w14:paraId="47296E3B" w14:textId="77777777" w:rsidTr="0051066D">
                                    <w:trPr>
                                      <w:trHeight w:val="1837"/>
                                    </w:trPr>
                                    <w:tc>
                                      <w:tcPr>
                                        <w:tcW w:w="10632" w:type="dxa"/>
                                        <w:vAlign w:val="center"/>
                                      </w:tcPr>
                                      <w:p w14:paraId="3D2927B1" w14:textId="77777777" w:rsidR="0050299A" w:rsidRPr="003E0246" w:rsidRDefault="0050299A"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6EE49208" w14:textId="77777777" w:rsidR="0050299A" w:rsidRDefault="0050299A"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1C329DA" w14:textId="77777777" w:rsidR="0050299A" w:rsidRDefault="0050299A"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1D7634" w14:paraId="31BF9CD2" w14:textId="77777777" w:rsidTr="0051066D">
                                    <w:trPr>
                                      <w:trHeight w:val="20"/>
                                    </w:trPr>
                                    <w:tc>
                                      <w:tcPr>
                                        <w:tcW w:w="10632" w:type="dxa"/>
                                      </w:tcPr>
                                      <w:p w14:paraId="1B76A5B4" w14:textId="77777777" w:rsidR="0050299A" w:rsidRPr="00642089" w:rsidRDefault="0050299A" w:rsidP="000D139C">
                                        <w:pPr>
                                          <w:spacing w:before="240" w:after="0" w:line="240" w:lineRule="auto"/>
                                        </w:pPr>
                                        <w:r w:rsidRPr="00642089">
                                          <w:t>Attested on 30 March 2026 at 01:48 PM by Heather Kennedy (Principal)</w:t>
                                        </w:r>
                                      </w:p>
                                    </w:tc>
                                  </w:tr>
                                </w:tbl>
                                <w:p w14:paraId="1EEFE122" w14:textId="77777777" w:rsidR="0050299A" w:rsidRDefault="0050299A"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1D7634" w14:paraId="5A0E5E19" w14:textId="77777777" w:rsidTr="000D139C">
                                    <w:trPr>
                                      <w:trHeight w:val="522"/>
                                    </w:trPr>
                                    <w:tc>
                                      <w:tcPr>
                                        <w:tcW w:w="10632" w:type="dxa"/>
                                        <w:vAlign w:val="center"/>
                                      </w:tcPr>
                                      <w:p w14:paraId="739C9BB5" w14:textId="77777777" w:rsidR="0050299A" w:rsidRDefault="0050299A"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1D7634" w14:paraId="59023A94" w14:textId="77777777" w:rsidTr="000D139C">
                                    <w:trPr>
                                      <w:trHeight w:val="113"/>
                                    </w:trPr>
                                    <w:tc>
                                      <w:tcPr>
                                        <w:tcW w:w="10632" w:type="dxa"/>
                                      </w:tcPr>
                                      <w:p w14:paraId="743CBBEC" w14:textId="77777777" w:rsidR="0050299A" w:rsidRPr="00642089" w:rsidRDefault="0050299A" w:rsidP="000D139C">
                                        <w:pPr>
                                          <w:spacing w:before="240" w:after="0" w:line="240" w:lineRule="auto"/>
                                        </w:pPr>
                                        <w:r w:rsidRPr="00642089">
                                          <w:t>Attested on 30 March 2026 at 01:49 PM by Heather Kennedy (Principal)</w:t>
                                        </w:r>
                                      </w:p>
                                    </w:tc>
                                  </w:tr>
                                </w:tbl>
                                <w:p w14:paraId="458E24B2" w14:textId="77777777" w:rsidR="0050299A" w:rsidRDefault="0050299A" w:rsidP="00BB7B33"/>
                              </w:txbxContent>
                            </wps:txbx>
                            <wps:bodyPr rot="0" vert="horz" wrap="square" anchor="t" anchorCtr="0" upright="1"/>
                          </wps:wsp>
                        </a:graphicData>
                      </a:graphic>
                    </wp:anchor>
                  </w:drawing>
                </mc:Choice>
                <mc:Fallback>
                  <w:pict>
                    <v:shapetype w14:anchorId="31F74E8D"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1D7634" w14:paraId="47296E3B" w14:textId="77777777" w:rsidTr="0051066D">
                              <w:trPr>
                                <w:trHeight w:val="1837"/>
                              </w:trPr>
                              <w:tc>
                                <w:tcPr>
                                  <w:tcW w:w="10632" w:type="dxa"/>
                                  <w:vAlign w:val="center"/>
                                </w:tcPr>
                                <w:p w14:paraId="3D2927B1" w14:textId="77777777" w:rsidR="0050299A" w:rsidRPr="003E0246" w:rsidRDefault="0050299A"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6EE49208" w14:textId="77777777" w:rsidR="0050299A" w:rsidRDefault="0050299A"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1C329DA" w14:textId="77777777" w:rsidR="0050299A" w:rsidRDefault="0050299A"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1D7634" w14:paraId="31BF9CD2" w14:textId="77777777" w:rsidTr="0051066D">
                              <w:trPr>
                                <w:trHeight w:val="20"/>
                              </w:trPr>
                              <w:tc>
                                <w:tcPr>
                                  <w:tcW w:w="10632" w:type="dxa"/>
                                </w:tcPr>
                                <w:p w14:paraId="1B76A5B4" w14:textId="77777777" w:rsidR="0050299A" w:rsidRPr="00642089" w:rsidRDefault="0050299A" w:rsidP="000D139C">
                                  <w:pPr>
                                    <w:spacing w:before="240" w:after="0" w:line="240" w:lineRule="auto"/>
                                  </w:pPr>
                                  <w:r w:rsidRPr="00642089">
                                    <w:t>Attested on 30 March 2026 at 01:48 PM by Heather Kennedy (Principal)</w:t>
                                  </w:r>
                                </w:p>
                              </w:tc>
                            </w:tr>
                          </w:tbl>
                          <w:p w14:paraId="1EEFE122" w14:textId="77777777" w:rsidR="0050299A" w:rsidRDefault="0050299A"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1D7634" w14:paraId="5A0E5E19" w14:textId="77777777" w:rsidTr="000D139C">
                              <w:trPr>
                                <w:trHeight w:val="522"/>
                              </w:trPr>
                              <w:tc>
                                <w:tcPr>
                                  <w:tcW w:w="10632" w:type="dxa"/>
                                  <w:vAlign w:val="center"/>
                                </w:tcPr>
                                <w:p w14:paraId="739C9BB5" w14:textId="77777777" w:rsidR="0050299A" w:rsidRDefault="0050299A"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1D7634" w14:paraId="59023A94" w14:textId="77777777" w:rsidTr="000D139C">
                              <w:trPr>
                                <w:trHeight w:val="113"/>
                              </w:trPr>
                              <w:tc>
                                <w:tcPr>
                                  <w:tcW w:w="10632" w:type="dxa"/>
                                </w:tcPr>
                                <w:p w14:paraId="743CBBEC" w14:textId="77777777" w:rsidR="0050299A" w:rsidRPr="00642089" w:rsidRDefault="0050299A" w:rsidP="000D139C">
                                  <w:pPr>
                                    <w:spacing w:before="240" w:after="0" w:line="240" w:lineRule="auto"/>
                                  </w:pPr>
                                  <w:r w:rsidRPr="00642089">
                                    <w:t>Attested on 30 March 2026 at 01:49 PM by Heather Kennedy (Principal)</w:t>
                                  </w:r>
                                </w:p>
                              </w:tc>
                            </w:tr>
                          </w:tbl>
                          <w:p w14:paraId="458E24B2" w14:textId="77777777" w:rsidR="0050299A" w:rsidRDefault="0050299A" w:rsidP="00BB7B33"/>
                        </w:txbxContent>
                      </v:textbox>
                      <w10:wrap anchorx="margin"/>
                    </v:shape>
                  </w:pict>
                </mc:Fallback>
              </mc:AlternateContent>
            </w:r>
          </w:p>
        </w:tc>
      </w:tr>
    </w:tbl>
    <w:p w14:paraId="27DB97C2" w14:textId="77777777" w:rsidR="0050299A" w:rsidRPr="00BB7B33" w:rsidRDefault="0050299A" w:rsidP="00A56AED">
      <w:pPr>
        <w:pStyle w:val="Heading2"/>
        <w:rPr>
          <w:rFonts w:eastAsia="MS Mincho"/>
        </w:rPr>
      </w:pPr>
      <w:r w:rsidRPr="00BB7B33">
        <w:rPr>
          <w:rFonts w:eastAsia="MS Mincho"/>
          <w:noProof/>
        </w:rPr>
        <w:t>School Name: Toolamba Primary School (1455)</w:t>
      </w:r>
    </w:p>
    <w:p w14:paraId="2E59A79F" w14:textId="77777777" w:rsidR="0050299A" w:rsidRPr="00BB7B33" w:rsidRDefault="0050299A" w:rsidP="00BB7B33">
      <w:pPr>
        <w:spacing w:before="0"/>
        <w:ind w:right="419"/>
        <w:rPr>
          <w:rFonts w:ascii="Arial" w:eastAsia="MS Mincho" w:hAnsi="Arial" w:cs="Arial"/>
          <w:color w:val="FFFFFF"/>
          <w:sz w:val="36"/>
          <w:szCs w:val="36"/>
        </w:rPr>
      </w:pPr>
    </w:p>
    <w:p w14:paraId="408056CE" w14:textId="77777777" w:rsidR="0050299A" w:rsidRPr="00BB7B33" w:rsidRDefault="0050299A" w:rsidP="00BB7B33">
      <w:pPr>
        <w:spacing w:before="0"/>
        <w:ind w:left="540" w:right="419"/>
        <w:rPr>
          <w:rFonts w:ascii="Arial" w:eastAsia="MS Mincho" w:hAnsi="Arial" w:cs="Arial"/>
          <w:color w:val="595959"/>
          <w:sz w:val="18"/>
          <w:szCs w:val="18"/>
        </w:rPr>
      </w:pPr>
    </w:p>
    <w:p w14:paraId="168EE0B9" w14:textId="77777777" w:rsidR="0050299A" w:rsidRDefault="0050299A" w:rsidP="00BB7B33">
      <w:pPr>
        <w:keepNext/>
        <w:keepLines/>
        <w:spacing w:before="240"/>
        <w:jc w:val="center"/>
        <w:outlineLvl w:val="0"/>
        <w:rPr>
          <w:rFonts w:ascii="Arial" w:eastAsia="MS Mincho" w:hAnsi="Arial" w:cs="Arial"/>
          <w:color w:val="595959"/>
          <w:sz w:val="18"/>
          <w:szCs w:val="18"/>
        </w:rPr>
      </w:pPr>
    </w:p>
    <w:p w14:paraId="024FE26B" w14:textId="77777777" w:rsidR="0050299A" w:rsidRPr="006364DC" w:rsidRDefault="0050299A" w:rsidP="006364DC">
      <w:pPr>
        <w:rPr>
          <w:rFonts w:ascii="Arial" w:eastAsia="MS Gothic" w:hAnsi="Arial" w:cs="Times New Roman"/>
        </w:rPr>
      </w:pPr>
    </w:p>
    <w:p w14:paraId="4DADC1BE" w14:textId="77777777" w:rsidR="0050299A" w:rsidRPr="006364DC" w:rsidRDefault="0050299A" w:rsidP="006364DC">
      <w:pPr>
        <w:rPr>
          <w:rFonts w:ascii="Arial" w:eastAsia="MS Gothic" w:hAnsi="Arial" w:cs="Times New Roman"/>
        </w:rPr>
      </w:pPr>
    </w:p>
    <w:p w14:paraId="1DEE6993" w14:textId="77777777" w:rsidR="0050299A" w:rsidRPr="006364DC" w:rsidRDefault="0050299A" w:rsidP="006364DC">
      <w:pPr>
        <w:rPr>
          <w:rFonts w:ascii="Arial" w:eastAsia="MS Gothic" w:hAnsi="Arial" w:cs="Times New Roman"/>
        </w:rPr>
      </w:pPr>
    </w:p>
    <w:p w14:paraId="5E54E4D2" w14:textId="77777777" w:rsidR="0050299A" w:rsidRPr="006364DC" w:rsidRDefault="0050299A" w:rsidP="006364DC">
      <w:pPr>
        <w:rPr>
          <w:rFonts w:ascii="Arial" w:eastAsia="MS Gothic" w:hAnsi="Arial" w:cs="Times New Roman"/>
        </w:rPr>
      </w:pPr>
    </w:p>
    <w:p w14:paraId="79DB43DF" w14:textId="77777777" w:rsidR="0050299A" w:rsidRPr="006364DC" w:rsidRDefault="0050299A" w:rsidP="006364DC">
      <w:pPr>
        <w:rPr>
          <w:rFonts w:ascii="Arial" w:eastAsia="MS Gothic" w:hAnsi="Arial" w:cs="Times New Roman"/>
        </w:rPr>
      </w:pPr>
    </w:p>
    <w:p w14:paraId="6BC7BE51" w14:textId="77777777" w:rsidR="0050299A" w:rsidRPr="006364DC" w:rsidRDefault="0050299A" w:rsidP="006364DC">
      <w:pPr>
        <w:rPr>
          <w:rFonts w:ascii="Arial" w:eastAsia="MS Gothic" w:hAnsi="Arial" w:cs="Times New Roman"/>
        </w:rPr>
      </w:pPr>
    </w:p>
    <w:p w14:paraId="68DD1073" w14:textId="77777777" w:rsidR="0050299A" w:rsidRPr="006364DC" w:rsidRDefault="0050299A" w:rsidP="006364DC">
      <w:pPr>
        <w:rPr>
          <w:rFonts w:ascii="Arial" w:eastAsia="MS Gothic" w:hAnsi="Arial" w:cs="Times New Roman"/>
        </w:rPr>
      </w:pPr>
    </w:p>
    <w:p w14:paraId="03CD02B1" w14:textId="77777777" w:rsidR="0050299A" w:rsidRPr="006364DC" w:rsidRDefault="0050299A" w:rsidP="006364DC">
      <w:pPr>
        <w:rPr>
          <w:rFonts w:ascii="Arial" w:eastAsia="MS Gothic" w:hAnsi="Arial" w:cs="Times New Roman"/>
        </w:rPr>
      </w:pPr>
    </w:p>
    <w:p w14:paraId="6AECFDE4" w14:textId="77777777" w:rsidR="0050299A" w:rsidRPr="006364DC" w:rsidRDefault="0050299A" w:rsidP="006364DC">
      <w:pPr>
        <w:rPr>
          <w:rFonts w:ascii="Arial" w:eastAsia="MS Gothic" w:hAnsi="Arial" w:cs="Times New Roman"/>
        </w:rPr>
      </w:pPr>
    </w:p>
    <w:p w14:paraId="20D4F982" w14:textId="77777777" w:rsidR="0050299A" w:rsidRPr="006364DC" w:rsidRDefault="0050299A" w:rsidP="006364DC">
      <w:pPr>
        <w:rPr>
          <w:rFonts w:ascii="Arial" w:eastAsia="MS Gothic" w:hAnsi="Arial" w:cs="Times New Roman"/>
        </w:rPr>
      </w:pPr>
    </w:p>
    <w:p w14:paraId="2574B670" w14:textId="77777777" w:rsidR="0050299A" w:rsidRPr="006364DC" w:rsidRDefault="0050299A" w:rsidP="006364DC">
      <w:pPr>
        <w:rPr>
          <w:rFonts w:ascii="Arial" w:eastAsia="MS Gothic" w:hAnsi="Arial" w:cs="Times New Roman"/>
        </w:rPr>
      </w:pPr>
    </w:p>
    <w:p w14:paraId="0987A1BC" w14:textId="77777777" w:rsidR="0050299A" w:rsidRPr="006364DC" w:rsidRDefault="0050299A" w:rsidP="006364DC">
      <w:pPr>
        <w:rPr>
          <w:rFonts w:ascii="Arial" w:eastAsia="MS Gothic" w:hAnsi="Arial" w:cs="Times New Roman"/>
        </w:rPr>
      </w:pPr>
    </w:p>
    <w:p w14:paraId="335461DE" w14:textId="77777777" w:rsidR="0050299A" w:rsidRPr="006364DC" w:rsidRDefault="0050299A" w:rsidP="006364DC">
      <w:pPr>
        <w:rPr>
          <w:rFonts w:ascii="Arial" w:eastAsia="MS Gothic" w:hAnsi="Arial" w:cs="Times New Roman"/>
        </w:rPr>
      </w:pPr>
    </w:p>
    <w:p w14:paraId="473B60CF" w14:textId="77777777" w:rsidR="0050299A" w:rsidRPr="006364DC" w:rsidRDefault="0050299A" w:rsidP="006364DC">
      <w:pPr>
        <w:rPr>
          <w:rFonts w:ascii="Arial" w:eastAsia="MS Gothic" w:hAnsi="Arial" w:cs="Times New Roman"/>
        </w:rPr>
      </w:pPr>
    </w:p>
    <w:p w14:paraId="4BFDB2E6" w14:textId="77777777" w:rsidR="0050299A" w:rsidRPr="006364DC" w:rsidRDefault="0050299A" w:rsidP="006364DC">
      <w:pPr>
        <w:rPr>
          <w:rFonts w:ascii="Arial" w:eastAsia="MS Gothic" w:hAnsi="Arial" w:cs="Times New Roman"/>
        </w:rPr>
      </w:pPr>
    </w:p>
    <w:p w14:paraId="5EC50941" w14:textId="77777777" w:rsidR="0050299A" w:rsidRPr="006364DC" w:rsidRDefault="0050299A" w:rsidP="006364DC">
      <w:pPr>
        <w:rPr>
          <w:rFonts w:ascii="Arial" w:eastAsia="MS Gothic" w:hAnsi="Arial" w:cs="Times New Roman"/>
        </w:rPr>
      </w:pPr>
    </w:p>
    <w:p w14:paraId="4800EB70" w14:textId="77777777" w:rsidR="0050299A" w:rsidRPr="006364DC" w:rsidRDefault="0050299A" w:rsidP="006364DC">
      <w:pPr>
        <w:rPr>
          <w:rFonts w:ascii="Arial" w:eastAsia="MS Gothic" w:hAnsi="Arial" w:cs="Times New Roman"/>
        </w:rPr>
      </w:pPr>
    </w:p>
    <w:p w14:paraId="665505F2" w14:textId="77777777" w:rsidR="0050299A" w:rsidRPr="006364DC" w:rsidRDefault="0050299A" w:rsidP="006364DC">
      <w:pPr>
        <w:rPr>
          <w:rFonts w:ascii="Arial" w:eastAsia="MS Gothic" w:hAnsi="Arial" w:cs="Times New Roman"/>
        </w:rPr>
      </w:pPr>
    </w:p>
    <w:p w14:paraId="66D20215" w14:textId="77777777" w:rsidR="0050299A" w:rsidRPr="006364DC" w:rsidRDefault="0050299A" w:rsidP="006364DC">
      <w:pPr>
        <w:rPr>
          <w:rFonts w:ascii="Arial" w:eastAsia="MS Gothic" w:hAnsi="Arial" w:cs="Times New Roman"/>
        </w:rPr>
      </w:pPr>
    </w:p>
    <w:p w14:paraId="21A6D26C" w14:textId="77777777" w:rsidR="0050299A" w:rsidRPr="006364DC" w:rsidRDefault="0050299A" w:rsidP="006364DC">
      <w:pPr>
        <w:rPr>
          <w:rFonts w:ascii="Arial" w:eastAsia="MS Gothic" w:hAnsi="Arial" w:cs="Times New Roman"/>
        </w:rPr>
      </w:pPr>
    </w:p>
    <w:p w14:paraId="17E33734" w14:textId="77777777" w:rsidR="0050299A" w:rsidRPr="006364DC" w:rsidRDefault="0050299A" w:rsidP="006364DC">
      <w:pPr>
        <w:rPr>
          <w:rFonts w:ascii="Arial" w:eastAsia="MS Gothic" w:hAnsi="Arial" w:cs="Times New Roman"/>
        </w:rPr>
      </w:pPr>
    </w:p>
    <w:p w14:paraId="02C981B0" w14:textId="77777777" w:rsidR="0050299A" w:rsidRPr="006364DC" w:rsidRDefault="0050299A" w:rsidP="006364DC">
      <w:pPr>
        <w:rPr>
          <w:rFonts w:ascii="Arial" w:eastAsia="MS Gothic" w:hAnsi="Arial" w:cs="Times New Roman"/>
        </w:rPr>
      </w:pPr>
    </w:p>
    <w:p w14:paraId="0780EE78" w14:textId="77777777" w:rsidR="0050299A" w:rsidRPr="006364DC" w:rsidRDefault="0050299A" w:rsidP="006364DC">
      <w:pPr>
        <w:rPr>
          <w:rFonts w:ascii="Arial" w:eastAsia="MS Gothic" w:hAnsi="Arial" w:cs="Times New Roman"/>
        </w:rPr>
      </w:pPr>
    </w:p>
    <w:p w14:paraId="7849278B" w14:textId="77777777" w:rsidR="0050299A" w:rsidRPr="006364DC" w:rsidRDefault="0050299A" w:rsidP="006364DC">
      <w:pPr>
        <w:rPr>
          <w:rFonts w:ascii="Arial" w:eastAsia="MS Gothic" w:hAnsi="Arial" w:cs="Times New Roman"/>
        </w:rPr>
      </w:pPr>
    </w:p>
    <w:p w14:paraId="297EE7F0" w14:textId="77777777" w:rsidR="0050299A" w:rsidRDefault="0050299A"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494B4D6" w14:textId="77777777" w:rsidR="0050299A" w:rsidRPr="006364DC" w:rsidRDefault="0050299A"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57EA36A1" w14:textId="77777777" w:rsidR="001D7634" w:rsidRDefault="0050299A">
      <w:pPr>
        <w:pStyle w:val="Heading10"/>
      </w:pPr>
      <w:bookmarkStart w:id="2" w:name="how-to-read-the-annual-report"/>
      <w:r>
        <w:lastRenderedPageBreak/>
        <w:t>How to read the Annual Report</w:t>
      </w:r>
    </w:p>
    <w:p w14:paraId="4F3EA3DE" w14:textId="77777777" w:rsidR="001D7634" w:rsidRDefault="0050299A">
      <w:pPr>
        <w:pStyle w:val="Heading20"/>
      </w:pPr>
      <w:bookmarkStart w:id="3" w:name="X7dae053837fd441fc10137421ccd7c20cf0e4c4"/>
      <w:r>
        <w:t xml:space="preserve">What does the </w:t>
      </w:r>
      <w:r>
        <w:rPr>
          <w:i/>
          <w:iCs/>
        </w:rPr>
        <w:t>About Our School</w:t>
      </w:r>
      <w:r>
        <w:t xml:space="preserve"> commentary section of this report refer to?</w:t>
      </w:r>
    </w:p>
    <w:p w14:paraId="31214C46" w14:textId="77777777" w:rsidR="001D7634" w:rsidRDefault="0050299A">
      <w:r>
        <w:t>The ‘About our school’ commentary provides a brief background on the school and an overview of the school’s performance over the previous calendar year.</w:t>
      </w:r>
    </w:p>
    <w:p w14:paraId="6577DDFD" w14:textId="77777777" w:rsidR="001D7634" w:rsidRDefault="0050299A">
      <w:r>
        <w:t>The ‘School Context’ describes the school’s vision, values, and purpose. Details include the school’s geographic location, size and structure, social characteristics, enrolment characteristics, and special programs.</w:t>
      </w:r>
    </w:p>
    <w:p w14:paraId="428C1478" w14:textId="77777777" w:rsidR="001D7634" w:rsidRDefault="0050299A">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12FA061B" w14:textId="77777777" w:rsidR="001D7634" w:rsidRDefault="0050299A">
      <w:pPr>
        <w:pStyle w:val="Heading20"/>
      </w:pPr>
      <w:bookmarkStart w:id="4" w:name="X3f86002c48a0a3de82aada63598aa289f3922b4"/>
      <w:bookmarkEnd w:id="3"/>
      <w:r>
        <w:t>What does the ‘Performance Summary’ section of this report refer to?</w:t>
      </w:r>
    </w:p>
    <w:p w14:paraId="1CC8EA5D" w14:textId="77777777" w:rsidR="001D7634" w:rsidRDefault="0050299A">
      <w:r>
        <w:t>The Performance Summary includes the following:</w:t>
      </w:r>
    </w:p>
    <w:p w14:paraId="62D3C03C" w14:textId="77777777" w:rsidR="001D7634" w:rsidRDefault="0050299A">
      <w:pPr>
        <w:numPr>
          <w:ilvl w:val="0"/>
          <w:numId w:val="24"/>
        </w:numPr>
      </w:pPr>
      <w:r>
        <w:t>School Profile</w:t>
      </w:r>
    </w:p>
    <w:p w14:paraId="70829E74" w14:textId="77777777" w:rsidR="001D7634" w:rsidRDefault="0050299A">
      <w:pPr>
        <w:numPr>
          <w:ilvl w:val="1"/>
          <w:numId w:val="25"/>
        </w:numPr>
      </w:pPr>
      <w:r>
        <w:t>student enrolment information</w:t>
      </w:r>
    </w:p>
    <w:p w14:paraId="5E05AE1E" w14:textId="77777777" w:rsidR="001D7634" w:rsidRDefault="0050299A">
      <w:pPr>
        <w:numPr>
          <w:ilvl w:val="1"/>
          <w:numId w:val="25"/>
        </w:numPr>
      </w:pPr>
      <w:r>
        <w:t>the school’s ‘Student Family Occupation and Education’ category</w:t>
      </w:r>
    </w:p>
    <w:p w14:paraId="1AF596FB" w14:textId="77777777" w:rsidR="001D7634" w:rsidRDefault="0050299A">
      <w:pPr>
        <w:numPr>
          <w:ilvl w:val="1"/>
          <w:numId w:val="25"/>
        </w:numPr>
      </w:pPr>
      <w:r>
        <w:t>responses to the General Satisfaction area of the Parent/Caregiver/Guardian Opinion Survey</w:t>
      </w:r>
    </w:p>
    <w:p w14:paraId="5AADEC1B" w14:textId="77777777" w:rsidR="001D7634" w:rsidRDefault="0050299A">
      <w:pPr>
        <w:numPr>
          <w:ilvl w:val="1"/>
          <w:numId w:val="25"/>
        </w:numPr>
      </w:pPr>
      <w:r>
        <w:t>school staff responses to the School Climate area of the School Staff Survey</w:t>
      </w:r>
    </w:p>
    <w:p w14:paraId="5D47A83D" w14:textId="77777777" w:rsidR="001D7634" w:rsidRDefault="0050299A">
      <w:pPr>
        <w:numPr>
          <w:ilvl w:val="0"/>
          <w:numId w:val="24"/>
        </w:numPr>
      </w:pPr>
      <w:r>
        <w:t>Learning</w:t>
      </w:r>
    </w:p>
    <w:p w14:paraId="210E2399" w14:textId="77777777" w:rsidR="001D7634" w:rsidRDefault="0050299A">
      <w:pPr>
        <w:numPr>
          <w:ilvl w:val="1"/>
          <w:numId w:val="26"/>
        </w:numPr>
      </w:pPr>
      <w:r>
        <w:t>English and Mathematics for Teacher Judgements against the curriculum</w:t>
      </w:r>
    </w:p>
    <w:p w14:paraId="36786C97" w14:textId="77777777" w:rsidR="001D7634" w:rsidRDefault="0050299A">
      <w:pPr>
        <w:numPr>
          <w:ilvl w:val="1"/>
          <w:numId w:val="26"/>
        </w:numPr>
      </w:pPr>
      <w:r>
        <w:t>Reading and Numeracy proficiency levels for National Literacy and Numeracy tests (NAPLAN)</w:t>
      </w:r>
    </w:p>
    <w:p w14:paraId="44EAA5B0" w14:textId="77777777" w:rsidR="001D7634" w:rsidRDefault="0050299A">
      <w:pPr>
        <w:numPr>
          <w:ilvl w:val="1"/>
          <w:numId w:val="26"/>
        </w:numPr>
      </w:pPr>
      <w:r>
        <w:t>Reading and Numeracy relative growth for National Literacy and Numeracy tests (NAPLAN)</w:t>
      </w:r>
    </w:p>
    <w:p w14:paraId="78E319B1" w14:textId="77777777" w:rsidR="001D7634" w:rsidRDefault="0050299A">
      <w:pPr>
        <w:numPr>
          <w:ilvl w:val="0"/>
          <w:numId w:val="24"/>
        </w:numPr>
      </w:pPr>
      <w:r>
        <w:t>Wellbeing</w:t>
      </w:r>
    </w:p>
    <w:p w14:paraId="3B5D8374" w14:textId="77777777" w:rsidR="001D7634" w:rsidRDefault="0050299A">
      <w:pPr>
        <w:numPr>
          <w:ilvl w:val="1"/>
          <w:numId w:val="27"/>
        </w:numPr>
      </w:pPr>
      <w:r>
        <w:t>student responses to the Sense of Connectedness area in the Student Attitudes to School Survey</w:t>
      </w:r>
    </w:p>
    <w:p w14:paraId="0D88BF34" w14:textId="77777777" w:rsidR="001D7634" w:rsidRDefault="0050299A">
      <w:pPr>
        <w:numPr>
          <w:ilvl w:val="1"/>
          <w:numId w:val="27"/>
        </w:numPr>
      </w:pPr>
      <w:r>
        <w:t>student responses to the Management of Bullying area in the Student Attitudes to School Survey</w:t>
      </w:r>
    </w:p>
    <w:p w14:paraId="521BDAFF" w14:textId="77777777" w:rsidR="001D7634" w:rsidRDefault="0050299A">
      <w:pPr>
        <w:numPr>
          <w:ilvl w:val="0"/>
          <w:numId w:val="24"/>
        </w:numPr>
      </w:pPr>
      <w:r>
        <w:t>Engagement</w:t>
      </w:r>
    </w:p>
    <w:p w14:paraId="11AD4FD1" w14:textId="77777777" w:rsidR="001D7634" w:rsidRDefault="0050299A">
      <w:pPr>
        <w:numPr>
          <w:ilvl w:val="1"/>
          <w:numId w:val="28"/>
        </w:numPr>
      </w:pPr>
      <w:r>
        <w:t>average absence days per student</w:t>
      </w:r>
    </w:p>
    <w:p w14:paraId="40DBBCF9" w14:textId="77777777" w:rsidR="001D7634" w:rsidRDefault="0050299A">
      <w:pPr>
        <w:numPr>
          <w:ilvl w:val="1"/>
          <w:numId w:val="28"/>
        </w:numPr>
      </w:pPr>
      <w:r>
        <w:t>student attendance rate</w:t>
      </w:r>
    </w:p>
    <w:p w14:paraId="48ED7133" w14:textId="77777777" w:rsidR="001D7634" w:rsidRDefault="0050299A">
      <w:r>
        <w:t>Key terms used in the Performance Summary are defined below:</w:t>
      </w:r>
    </w:p>
    <w:p w14:paraId="581C9C13" w14:textId="77777777" w:rsidR="001D7634" w:rsidRDefault="0050299A">
      <w:pPr>
        <w:pStyle w:val="Heading30"/>
      </w:pPr>
      <w:bookmarkStart w:id="5" w:name="similar-schools"/>
      <w:r>
        <w:t>Similar Schools</w:t>
      </w:r>
    </w:p>
    <w:p w14:paraId="5C9C69FB" w14:textId="77777777" w:rsidR="001D7634" w:rsidRDefault="0050299A">
      <w:r>
        <w:t>Similar Schools are a group of Victorian government schools with similar characteristics to the school.</w:t>
      </w:r>
    </w:p>
    <w:p w14:paraId="779A9D4B" w14:textId="77777777" w:rsidR="001D7634" w:rsidRDefault="0050299A">
      <w:r>
        <w:t>This grouping of schools has been created by comparing each school’s socio-economic background of students, the number of non-English speaking students and the school’s size and location.</w:t>
      </w:r>
    </w:p>
    <w:p w14:paraId="019141A8" w14:textId="77777777" w:rsidR="001D7634" w:rsidRDefault="0050299A">
      <w:pPr>
        <w:pStyle w:val="Heading30"/>
      </w:pPr>
      <w:bookmarkStart w:id="6" w:name="ndp-and-nda"/>
      <w:bookmarkEnd w:id="5"/>
      <w:r>
        <w:lastRenderedPageBreak/>
        <w:t>NDP and NDA</w:t>
      </w:r>
    </w:p>
    <w:p w14:paraId="3C9083CD" w14:textId="77777777" w:rsidR="001D7634" w:rsidRDefault="0050299A">
      <w:r>
        <w:t>‘NDP’ refers to no data being published for privacy reasons or where there are insufficient underlying data. For example, very low numbers of participants or characteristics that may lead to identification will result in an ‘NDP’ label.</w:t>
      </w:r>
    </w:p>
    <w:p w14:paraId="0F1D2B0A" w14:textId="77777777" w:rsidR="001D7634" w:rsidRDefault="0050299A">
      <w:r>
        <w:t>‘NDA’ refers to no data being available. Some schools have no data for particular measures due to low enrolments. There may be no students enrolled in some year levels, so school comparisons are not possible.</w:t>
      </w:r>
    </w:p>
    <w:p w14:paraId="6D08DC39" w14:textId="77777777" w:rsidR="001D7634" w:rsidRDefault="0050299A">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07F55C63" w14:textId="77777777" w:rsidR="001D7634" w:rsidRDefault="0050299A">
      <w:pPr>
        <w:pStyle w:val="Heading30"/>
      </w:pPr>
      <w:bookmarkStart w:id="7" w:name="the-victorian-curriculum"/>
      <w:bookmarkEnd w:id="6"/>
      <w:r>
        <w:t>The Victorian Curriculum</w:t>
      </w:r>
    </w:p>
    <w:p w14:paraId="6AE6082C" w14:textId="77777777" w:rsidR="001D7634" w:rsidRDefault="0050299A">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15D46165" w14:textId="77777777" w:rsidR="001D7634" w:rsidRDefault="0050299A">
      <w:r>
        <w:t>The Victorian Curriculum is assessed through teacher judgements of student achievement based on classroom learning.</w:t>
      </w:r>
    </w:p>
    <w:p w14:paraId="0FA91844" w14:textId="77777777" w:rsidR="001D7634" w:rsidRDefault="0050299A">
      <w:r>
        <w:t>The curriculum has been developed to ensure that school subjects and their achievement standards enable continuous learning for all students, including students with disabilities.</w:t>
      </w:r>
    </w:p>
    <w:p w14:paraId="6514A17F" w14:textId="77777777" w:rsidR="001D7634" w:rsidRDefault="0050299A">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63847933" w14:textId="77777777" w:rsidR="001D7634" w:rsidRDefault="0050299A">
      <w:pPr>
        <w:pStyle w:val="Heading20"/>
      </w:pPr>
      <w:bookmarkStart w:id="8" w:name="X6752e4e4dcbe51ad748a17b48e3170688bc559d"/>
      <w:bookmarkEnd w:id="4"/>
      <w:bookmarkEnd w:id="7"/>
      <w:r>
        <w:t>Updates to the ‘Performance Summary’ in the 2025 Annual Report</w:t>
      </w:r>
    </w:p>
    <w:p w14:paraId="6C2A813A" w14:textId="77777777" w:rsidR="001D7634" w:rsidRDefault="0050299A">
      <w:r>
        <w:t>NAPLAN relative growth data has been included in the 2025 Performance Summary as there is sufficient data available for the comparison.</w:t>
      </w:r>
    </w:p>
    <w:p w14:paraId="35AC76E5" w14:textId="77777777" w:rsidR="001D7634" w:rsidRDefault="001D7634">
      <w:pPr>
        <w:sectPr w:rsidR="001D7634">
          <w:pgSz w:w="11906" w:h="16838"/>
          <w:pgMar w:top="1134" w:right="567" w:bottom="1701" w:left="567" w:header="0" w:footer="708" w:gutter="0"/>
          <w:cols w:space="720"/>
        </w:sectPr>
      </w:pPr>
    </w:p>
    <w:p w14:paraId="345A0D87" w14:textId="77777777" w:rsidR="0050299A" w:rsidRDefault="0050299A"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1D7634" w14:paraId="26A95D99" w14:textId="77777777" w:rsidTr="001D7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7DC5C1D1" w14:textId="77777777" w:rsidR="0050299A" w:rsidRPr="00A56AED" w:rsidRDefault="0050299A" w:rsidP="00A56AED">
            <w:pPr>
              <w:pStyle w:val="Heading2"/>
              <w:rPr>
                <w:bCs w:val="0"/>
              </w:rPr>
            </w:pPr>
            <w:r w:rsidRPr="00A56AED">
              <w:rPr>
                <w:b w:val="0"/>
                <w:bCs w:val="0"/>
              </w:rPr>
              <w:t>School context</w:t>
            </w:r>
          </w:p>
        </w:tc>
      </w:tr>
      <w:tr w:rsidR="001D7634" w14:paraId="6C3D513B"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4A7874FF" w14:textId="77777777" w:rsidR="0050299A" w:rsidRPr="00A56AED" w:rsidRDefault="0050299A" w:rsidP="00A56AED">
            <w:pPr>
              <w:rPr>
                <w:rFonts w:ascii="Arial" w:eastAsia="Arial" w:hAnsi="Arial" w:cs="Arial"/>
                <w:color w:val="auto"/>
                <w:sz w:val="22"/>
                <w:szCs w:val="22"/>
              </w:rPr>
            </w:pPr>
            <w:r w:rsidRPr="00A56AED">
              <w:rPr>
                <w:rFonts w:ascii="Arial" w:eastAsia="Arial" w:hAnsi="Arial" w:cs="Arial"/>
                <w:color w:val="auto"/>
                <w:sz w:val="22"/>
              </w:rPr>
              <w:t>Located in the township of Toolamba, approximately 19 kilometres south of Shepparton, Toolamba Primary School has been an integral part of the local community since its establishment in 1894. The school has a long and proud history, including relocation during the 1980s and the construction of new facilities in 2012 following a fire in 2010. Today, the school honours its heritage while working collaboratively toward its shared vision of “Striving for Excellence.” A strong emphasis is placed on high expectat</w:t>
            </w:r>
            <w:r w:rsidRPr="00A56AED">
              <w:rPr>
                <w:rFonts w:ascii="Arial" w:eastAsia="Arial" w:hAnsi="Arial" w:cs="Arial"/>
                <w:color w:val="auto"/>
                <w:sz w:val="22"/>
              </w:rPr>
              <w:t>ions and the core values of Trustworthiness, Respect, Inclusiveness, and Kindness.</w:t>
            </w:r>
          </w:p>
          <w:p w14:paraId="0A2D403E" w14:textId="77777777" w:rsidR="0050299A" w:rsidRPr="00A56AED" w:rsidRDefault="0050299A" w:rsidP="00A56AED">
            <w:pPr>
              <w:rPr>
                <w:rFonts w:ascii="Arial" w:eastAsia="Arial" w:hAnsi="Arial" w:cs="Arial"/>
                <w:color w:val="auto"/>
                <w:sz w:val="22"/>
                <w:szCs w:val="22"/>
              </w:rPr>
            </w:pPr>
            <w:r w:rsidRPr="00A56AED">
              <w:rPr>
                <w:rFonts w:ascii="Arial" w:eastAsia="Arial" w:hAnsi="Arial" w:cs="Arial"/>
                <w:color w:val="auto"/>
                <w:sz w:val="22"/>
              </w:rPr>
              <w:t>The school is well resourced, featuring six permanent classrooms, flexible learning areas, a multipurpose space, and a dedicated Visual Arts room, along with two additional relocatable classrooms. The expansive grounds include playgrounds, a sports oval, and a bush play area that supports outdoor learning. The school site is shared with the local Kindergarten and Maternal Health Centre, and students also benefit from access to nearby community facilities such as the hall, tennis courts, and surrounding bush</w:t>
            </w:r>
            <w:r w:rsidRPr="00A56AED">
              <w:rPr>
                <w:rFonts w:ascii="Arial" w:eastAsia="Arial" w:hAnsi="Arial" w:cs="Arial"/>
                <w:color w:val="auto"/>
                <w:sz w:val="22"/>
              </w:rPr>
              <w:t>land.</w:t>
            </w:r>
          </w:p>
          <w:p w14:paraId="050649B1" w14:textId="77777777" w:rsidR="0050299A" w:rsidRPr="00A56AED" w:rsidRDefault="0050299A" w:rsidP="00A56AED">
            <w:pPr>
              <w:rPr>
                <w:rFonts w:ascii="Arial" w:eastAsia="Arial" w:hAnsi="Arial" w:cs="Arial"/>
                <w:color w:val="auto"/>
                <w:sz w:val="22"/>
                <w:szCs w:val="22"/>
              </w:rPr>
            </w:pPr>
            <w:r w:rsidRPr="00A56AED">
              <w:rPr>
                <w:rFonts w:ascii="Arial" w:eastAsia="Arial" w:hAnsi="Arial" w:cs="Arial"/>
                <w:color w:val="auto"/>
                <w:sz w:val="22"/>
              </w:rPr>
              <w:t>The student population consists of 121 children drawn from Toolamba and neighbouring areas, with transport supported by two bus routes. A committed team of teaching and support staff delivers a comprehensive curriculum aligned with the Victorian Curriculum. Students participate in specialist programs including Visual Arts, Physical Education, and Science. Teaching practices are informed by evidence-based approaches, including small group learning and targeted interventions designed to support individual stu</w:t>
            </w:r>
            <w:r w:rsidRPr="00A56AED">
              <w:rPr>
                <w:rFonts w:ascii="Arial" w:eastAsia="Arial" w:hAnsi="Arial" w:cs="Arial"/>
                <w:color w:val="auto"/>
                <w:sz w:val="22"/>
              </w:rPr>
              <w:t>dent growth.</w:t>
            </w:r>
          </w:p>
          <w:p w14:paraId="5D45C37F" w14:textId="77777777" w:rsidR="0050299A" w:rsidRPr="00A56AED" w:rsidRDefault="0050299A" w:rsidP="00A56AED">
            <w:pPr>
              <w:rPr>
                <w:rFonts w:ascii="Arial" w:eastAsia="Arial" w:hAnsi="Arial" w:cs="Arial"/>
                <w:color w:val="auto"/>
                <w:sz w:val="22"/>
                <w:szCs w:val="22"/>
              </w:rPr>
            </w:pPr>
            <w:r w:rsidRPr="00A56AED">
              <w:rPr>
                <w:rFonts w:ascii="Arial" w:eastAsia="Arial" w:hAnsi="Arial" w:cs="Arial"/>
                <w:color w:val="auto"/>
                <w:sz w:val="22"/>
              </w:rPr>
              <w:t>Strong partnerships between the school and families are highly valued, with opportunities for involvement through School Council, Parents and Friends, and various community events. The school maintains an open and welcoming environment, reflected in consistently positive feedback, including a 100% positive response rate in the Parent Opinion Survey for parent engagement—significantly above the state average. The School Staff Survey indicated the positive endorsement for School Climate was 83.7%. Toolamba Pr</w:t>
            </w:r>
            <w:r w:rsidRPr="00A56AED">
              <w:rPr>
                <w:rFonts w:ascii="Arial" w:eastAsia="Arial" w:hAnsi="Arial" w:cs="Arial"/>
                <w:color w:val="auto"/>
                <w:sz w:val="22"/>
              </w:rPr>
              <w:t>imary School’s socio-economic band is Low to Medium. Toolamba Primary School prides itself on fostering a supportive and inclusive community where collaboration between staff and families helps every student to succeed.</w:t>
            </w:r>
          </w:p>
          <w:p w14:paraId="5869C1D1" w14:textId="77777777" w:rsidR="0050299A" w:rsidRPr="00A56AED" w:rsidRDefault="0050299A" w:rsidP="00A56AED">
            <w:pPr>
              <w:rPr>
                <w:rFonts w:ascii="Arial" w:eastAsia="Arial" w:hAnsi="Arial" w:cs="Arial"/>
                <w:color w:val="auto"/>
                <w:sz w:val="22"/>
              </w:rPr>
            </w:pPr>
          </w:p>
        </w:tc>
      </w:tr>
      <w:tr w:rsidR="001D7634" w14:paraId="5BFC207C"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07622A44" w14:textId="77777777" w:rsidR="0050299A" w:rsidRPr="00A56AED" w:rsidRDefault="0050299A" w:rsidP="00A56AED">
            <w:pPr>
              <w:pStyle w:val="Heading2"/>
              <w:rPr>
                <w:bCs w:val="0"/>
              </w:rPr>
            </w:pPr>
            <w:r w:rsidRPr="00BB7B33">
              <w:rPr>
                <w:rFonts w:eastAsia="MS Gothic"/>
              </w:rPr>
              <w:t>Progress towards strategic goals, student outcomes and student engagement</w:t>
            </w:r>
          </w:p>
        </w:tc>
      </w:tr>
      <w:tr w:rsidR="001D7634" w14:paraId="5C690D4D"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72770E35" w14:textId="77777777" w:rsidR="0050299A" w:rsidRPr="00BB7B33" w:rsidRDefault="0050299A" w:rsidP="00A56AED">
            <w:pPr>
              <w:pStyle w:val="Heading3"/>
              <w:rPr>
                <w:rFonts w:eastAsia="MS Gothic"/>
              </w:rPr>
            </w:pPr>
            <w:r w:rsidRPr="00BB7B33">
              <w:t>Learning</w:t>
            </w:r>
          </w:p>
        </w:tc>
      </w:tr>
      <w:tr w:rsidR="001D7634" w14:paraId="12B4480E"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45301B2A"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 xml:space="preserve">During 2025, the school maintained a strong focus on improving student outcomes, particularly in Reading. A literacy consultant supported staff to refine and strengthen a consistent, whole-school approach to reading instruction. Professional Learning Communities met weekly, enabling </w:t>
            </w:r>
            <w:r w:rsidRPr="00BB7B33">
              <w:rPr>
                <w:rFonts w:ascii="Arial" w:eastAsia="Arial" w:hAnsi="Arial" w:cs="Arial"/>
                <w:color w:val="auto"/>
                <w:sz w:val="22"/>
              </w:rPr>
              <w:lastRenderedPageBreak/>
              <w:t>teachers to closely monitor student progress and collaboratively plan targeted next steps for each learner.</w:t>
            </w:r>
          </w:p>
          <w:p w14:paraId="618EEC14"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An inquiry-based approach guided our work, ensuring that teaching strategies were purposeful and supported by clear evidence of student growth. Both formative and summative assessment practices were used to track progress, and adjustments were made to the assessment schedule to ensure data collected was meaningful and directly informed teaching.</w:t>
            </w:r>
          </w:p>
          <w:p w14:paraId="4303A298"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A key priority for the year was embedding a consistent approach to reading across all year levels. Staff participated in four professional learning days with a consultant and engaged in Network Communities of Practice. This professional learning informed a range of instructional strategies, including student conferencing, explicit teaching of comprehension, synthetic phonics, book clubs, book discussions, and the use of Reader’s Notebooks.</w:t>
            </w:r>
          </w:p>
          <w:p w14:paraId="7D816733"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Teachers worked collaboratively to strengthen their practice, using a shared planning cycle, consistent instructional models, and evidence-based teaching strategies. Ongoing moderation processes supported consistent teacher judgement and allowed staff to regularly evaluate the impact of their teaching on student learning.</w:t>
            </w:r>
          </w:p>
          <w:p w14:paraId="68610264"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 xml:space="preserve">Student achievement data reflected this strong focus. Teacher Judgement indicated that 92% of students were at or above the expected level in Reading, while 90% achieved at or above the expected level in Mathematics. NAPLAN results showed the school performed above both similar schools and the state average in most areas, with the exception of Year 3 Reading. Growth data was particularly positive, with 91.7% of students demonstrating high or medium growth in Reading from Year 3 to Year 5, and 90% achieving </w:t>
            </w:r>
            <w:r w:rsidRPr="00BB7B33">
              <w:rPr>
                <w:rFonts w:ascii="Arial" w:eastAsia="Arial" w:hAnsi="Arial" w:cs="Arial"/>
                <w:color w:val="auto"/>
                <w:sz w:val="22"/>
              </w:rPr>
              <w:t>high or medium growth in Numeracy—both above state and similar school benchmarks.</w:t>
            </w:r>
          </w:p>
          <w:p w14:paraId="6CA5A1B3"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Overall, 2025 was a highly successful year, with strong academic outcomes and continued progress toward improving student learning across the school.</w:t>
            </w:r>
          </w:p>
          <w:p w14:paraId="29393508" w14:textId="77777777" w:rsidR="0050299A" w:rsidRPr="00BB7B33" w:rsidRDefault="0050299A" w:rsidP="00A56AED">
            <w:pPr>
              <w:rPr>
                <w:rFonts w:ascii="Arial" w:eastAsia="Arial" w:hAnsi="Arial" w:cs="Arial"/>
                <w:color w:val="auto"/>
                <w:sz w:val="22"/>
              </w:rPr>
            </w:pPr>
          </w:p>
        </w:tc>
      </w:tr>
      <w:tr w:rsidR="001D7634" w14:paraId="22652B27"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293CF3E4" w14:textId="77777777" w:rsidR="0050299A" w:rsidRPr="00BB7B33" w:rsidRDefault="0050299A" w:rsidP="00A56AED">
            <w:pPr>
              <w:pStyle w:val="Heading3"/>
              <w:rPr>
                <w:rFonts w:eastAsia="MS Gothic"/>
              </w:rPr>
            </w:pPr>
            <w:r w:rsidRPr="00BB7B33">
              <w:lastRenderedPageBreak/>
              <w:t>Wellbeing</w:t>
            </w:r>
          </w:p>
        </w:tc>
      </w:tr>
      <w:tr w:rsidR="001D7634" w14:paraId="054B162A"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1E3528EC"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In 2025, a major priority was strengthening student wellbeing across the school. Efforts centred on refining whole-school wellbeing practices and building staff confidence in supporting the social, emotional, and mental health needs of all students. One key initiative was the development of a School-Wide Positive Behaviour Matrix, which clearly defined expected behaviours and promoted consistency across all learning environments.</w:t>
            </w:r>
          </w:p>
          <w:p w14:paraId="786FB096"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Student wellbeing was regularly monitored through weekly online check-ins completed by all students, with responses reviewed by the Wellbeing Team to identify and respond to emerging needs. Programs such as UR Strong and Cyber Safety continued to be embedded into the weekly curriculum, supporting students to develop positive relationships and responsible online habits.</w:t>
            </w:r>
          </w:p>
          <w:p w14:paraId="6FD655F0"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Individual Education Plans (IEPs) were created for neurodiverse students to ensure personalised support for both learning and wellbeing. These plans were informed by allied health recommendations and reviewed regularly through Student Support Group meetings, ensuring appropriate adjustments were consistently applied in classroom planning and practice.</w:t>
            </w:r>
          </w:p>
          <w:p w14:paraId="0CABC450"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 xml:space="preserve">Communication between school and home remained a strong focus, with XUNO used as the primary platform for sharing updates and information with families. Student wellbeing was also a </w:t>
            </w:r>
            <w:r w:rsidRPr="00BB7B33">
              <w:rPr>
                <w:rFonts w:ascii="Arial" w:eastAsia="Arial" w:hAnsi="Arial" w:cs="Arial"/>
                <w:color w:val="auto"/>
                <w:sz w:val="22"/>
              </w:rPr>
              <w:lastRenderedPageBreak/>
              <w:t>standing agenda item in weekly staff meetings, where observations and strategies were documented and discussed to enable timely and effective responses.</w:t>
            </w:r>
          </w:p>
          <w:p w14:paraId="3496E8BC"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The transition program from Kindergarten to Foundation was successfully embedded into everyday school practice. Kinder students participated in six structured visits, and the Foundation teacher maintained regular involvement at the Kindergarten. This collaborative approach supported a smooth transition, reflected in highly positive parent feedback, with 94% endorsement in the Parent Opinion Survey.</w:t>
            </w:r>
          </w:p>
          <w:p w14:paraId="1C6B4C91"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Data from the Student Attitudes to School Survey indicated strong outcomes, with 81.2% of students reporting a sense of connectedness and 88% positive endorsement for managing bullying—both exceeding similar and state school results.</w:t>
            </w:r>
          </w:p>
          <w:p w14:paraId="5B65091A"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Consistency in teaching and learning practices remained a priority, with staff using student data to inform targeted instruction. A structured handover process ensured that relevant information was shared between teachers, supporting continuity of learning. Year 6 students were well supported through a comprehensive secondary transition program, including orientation visits and communication with receiving schools.</w:t>
            </w:r>
          </w:p>
          <w:p w14:paraId="4E1B0DA6"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The school’s Student Engagement Policy reinforced shared rights and responsibilities, promoting a respectful and positive environment. Clear procedures were maintained around student health and safety, including medical care, first aid, and record-keeping, with regular policy reviews ensuring ongoing compliance and safety.</w:t>
            </w:r>
          </w:p>
          <w:p w14:paraId="7EE78606"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A strong commitment to child safety underpinned all practices, with zero tolerance for child abuse. Any concerns were managed in accordance with strict protocols. The school also worked closely with external providers, including speech therapists, psychologists, and counsellors, to support student needs. Education Support Officers played an important role in delivering targeted assistance.</w:t>
            </w:r>
          </w:p>
          <w:p w14:paraId="130D8387"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Supporting staff wellbeing was also recognised as essential in maintaining a positive school environment. Overall, the school remained committed to creating a safe, inclusive, and connected community where all students and families feel supported</w:t>
            </w:r>
          </w:p>
          <w:p w14:paraId="087B8286" w14:textId="77777777" w:rsidR="0050299A" w:rsidRPr="00BB7B33" w:rsidRDefault="0050299A" w:rsidP="00A56AED">
            <w:pPr>
              <w:rPr>
                <w:rFonts w:ascii="Arial" w:eastAsia="Arial" w:hAnsi="Arial" w:cs="Arial"/>
                <w:color w:val="auto"/>
                <w:sz w:val="22"/>
              </w:rPr>
            </w:pPr>
          </w:p>
        </w:tc>
      </w:tr>
      <w:tr w:rsidR="001D7634" w14:paraId="45993716"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2C9E07AD" w14:textId="77777777" w:rsidR="0050299A" w:rsidRPr="00BB7B33" w:rsidRDefault="0050299A" w:rsidP="00A56AED">
            <w:pPr>
              <w:pStyle w:val="Heading3"/>
              <w:rPr>
                <w:rFonts w:eastAsia="MS Gothic"/>
              </w:rPr>
            </w:pPr>
            <w:r w:rsidRPr="00BB7B33">
              <w:lastRenderedPageBreak/>
              <w:t>Engagement</w:t>
            </w:r>
          </w:p>
        </w:tc>
      </w:tr>
      <w:tr w:rsidR="001D7634" w14:paraId="7F532763"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21E32C86"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 xml:space="preserve">At Toolamba Primary School, we take pride in our focus on student engagement. The strong relationships we build with students and their families, along with the programs we offer, are reflected in our excellent attendance rates. On average, students were absent for 19.9 days per year, compared to 20.5 days at similar schools and 21.5 days across the state. We regularly reinforce the message, "It is not OK to be away," through our weekly newsletter. </w:t>
            </w:r>
            <w:r w:rsidRPr="00BB7B33">
              <w:rPr>
                <w:rFonts w:ascii="Arial" w:eastAsia="Arial" w:hAnsi="Arial" w:cs="Arial"/>
                <w:color w:val="auto"/>
                <w:sz w:val="22"/>
              </w:rPr>
              <w:br/>
            </w:r>
            <w:r w:rsidRPr="00BB7B33">
              <w:rPr>
                <w:rFonts w:ascii="Arial" w:eastAsia="Arial" w:hAnsi="Arial" w:cs="Arial"/>
                <w:color w:val="auto"/>
                <w:sz w:val="22"/>
              </w:rPr>
              <w:br/>
              <w:t xml:space="preserve">The Parent Opinion Survey showed that 94% of parents, carers, and guardians felt that the school had a strong relationship with the local community.  This positive feedback reflects our ongoing efforts to foster a welcoming and inclusive school community. </w:t>
            </w:r>
            <w:r w:rsidRPr="00BB7B33">
              <w:rPr>
                <w:rFonts w:ascii="Arial" w:eastAsia="Arial" w:hAnsi="Arial" w:cs="Arial"/>
                <w:color w:val="auto"/>
                <w:sz w:val="22"/>
              </w:rPr>
              <w:br/>
            </w:r>
            <w:r w:rsidRPr="00BB7B33">
              <w:rPr>
                <w:rFonts w:ascii="Arial" w:eastAsia="Arial" w:hAnsi="Arial" w:cs="Arial"/>
                <w:color w:val="auto"/>
                <w:sz w:val="22"/>
              </w:rPr>
              <w:br/>
              <w:t>We also promote student engagement through programs that encourage student voice and leadership. These include student-led assemblies, leadership programs, and participation in local community activities such as ANZAC Day and community projects. Studen</w:t>
            </w:r>
            <w:r w:rsidRPr="00BB7B33">
              <w:rPr>
                <w:rFonts w:ascii="Arial" w:eastAsia="Arial" w:hAnsi="Arial" w:cs="Arial"/>
                <w:color w:val="auto"/>
                <w:sz w:val="22"/>
              </w:rPr>
              <w:t xml:space="preserve">ts are also actively involved in running lunchtime games, the Buddies Program, and Junior School Council initiatives. </w:t>
            </w:r>
            <w:r w:rsidRPr="00BB7B33">
              <w:rPr>
                <w:rFonts w:ascii="Arial" w:eastAsia="Arial" w:hAnsi="Arial" w:cs="Arial"/>
                <w:color w:val="auto"/>
                <w:sz w:val="22"/>
              </w:rPr>
              <w:lastRenderedPageBreak/>
              <w:t>Our expansion of the Leadership Program enabled all senior students to play an active role in the school community The Attitudes to School Survey indicated that 97% of students felt a sense of inclusion, and 96% said they were proud advocates for the school.</w:t>
            </w:r>
          </w:p>
          <w:p w14:paraId="232FC8E1" w14:textId="77777777" w:rsidR="0050299A" w:rsidRPr="00BB7B33" w:rsidRDefault="0050299A" w:rsidP="00A56AED">
            <w:pPr>
              <w:rPr>
                <w:rFonts w:ascii="Arial" w:eastAsia="Arial" w:hAnsi="Arial" w:cs="Arial"/>
                <w:color w:val="auto"/>
                <w:sz w:val="22"/>
                <w:szCs w:val="22"/>
              </w:rPr>
            </w:pPr>
            <w:r w:rsidRPr="00BB7B33">
              <w:rPr>
                <w:rFonts w:ascii="Arial" w:eastAsia="Arial" w:hAnsi="Arial" w:cs="Arial"/>
                <w:color w:val="auto"/>
                <w:sz w:val="22"/>
              </w:rPr>
              <w:t xml:space="preserve"> Throughout the year, Toolamba Primary School provided many exciting experiences for students, families, and the wider community. Extra-curricular activities such as Multi-Age Days, sports days, bike safety sessions, soccer and football clinics, cross country, the Mother’s  Day Breakfast and stall, Book Week, a whole school excursion, the school concert, gymnastics, and camping programs gave students access to a wide range of enriching opportunities. We are proud to have maintained strong levels of student </w:t>
            </w:r>
            <w:r w:rsidRPr="00BB7B33">
              <w:rPr>
                <w:rFonts w:ascii="Arial" w:eastAsia="Arial" w:hAnsi="Arial" w:cs="Arial"/>
                <w:color w:val="auto"/>
                <w:sz w:val="22"/>
              </w:rPr>
              <w:t>engagement over the past year. This foundation will help us continue to support our students in the future. Our commitment to fostering student voice, providing targeted programs, and building positive relationships between students and teachers will ensure ongoing success in the coming year.</w:t>
            </w:r>
          </w:p>
          <w:p w14:paraId="7B3A1C0D" w14:textId="77777777" w:rsidR="0050299A" w:rsidRPr="00BB7B33" w:rsidRDefault="0050299A" w:rsidP="00A56AED">
            <w:pPr>
              <w:rPr>
                <w:rFonts w:ascii="Arial" w:eastAsia="Arial" w:hAnsi="Arial" w:cs="Arial"/>
                <w:color w:val="auto"/>
                <w:sz w:val="22"/>
              </w:rPr>
            </w:pPr>
          </w:p>
        </w:tc>
      </w:tr>
      <w:tr w:rsidR="001D7634" w14:paraId="0CD48BAE"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341B0D28" w14:textId="77777777" w:rsidR="0050299A" w:rsidRPr="00BB7B33" w:rsidRDefault="0050299A" w:rsidP="00A56AED">
            <w:pPr>
              <w:pStyle w:val="Heading2"/>
              <w:rPr>
                <w:rFonts w:eastAsia="MS Gothic"/>
              </w:rPr>
            </w:pPr>
            <w:r w:rsidRPr="00BB7B33">
              <w:rPr>
                <w:rFonts w:eastAsia="MS Gothic"/>
              </w:rPr>
              <w:lastRenderedPageBreak/>
              <w:t>Financial performance</w:t>
            </w:r>
          </w:p>
        </w:tc>
      </w:tr>
      <w:tr w:rsidR="001D7634" w14:paraId="77B6AD68"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50FF4503"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The overall position for Toolamba Primary School imported figures shows a loss of $97,838 for 2025 across our SRP Credit and Cash allocations.</w:t>
            </w:r>
          </w:p>
          <w:p w14:paraId="6C0763C5"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Income items included:</w:t>
            </w:r>
          </w:p>
          <w:p w14:paraId="728B7B0B"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SRP (Credit and Cash), OHSC Grant, Sporting in Schools grant, Bushire Preparedness, Interest, LSL reimbursements, Fundraising, Camps &amp; Excursions, Contributions, Donations, and uniforms.</w:t>
            </w:r>
          </w:p>
          <w:p w14:paraId="6BFC4636"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CREDIT - In 2025 our SRP reconciliation resulted in a deficit of $53,360. The reduction in 21 enrolments since 2023, has impacted on our funding and slowly has depleted any surplus we’ve managed to maintain. The combination of reduced enrolments, retaining seven classrooms and high-end staff, has resulted in a deficit the previous two years. </w:t>
            </w:r>
          </w:p>
          <w:p w14:paraId="481E7124"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CASH - Our Cash financial loss for 2025 is $43,785, which is reflected on the Operating Statement. Salaries and Allowances noted in expenditure refers to School Local Payroll which includes CRT, education support casual work and the OHSC wages.</w:t>
            </w:r>
          </w:p>
          <w:p w14:paraId="52E73EBB"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 Additional spending in 2025 from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2"/>
              <w:gridCol w:w="906"/>
            </w:tblGrid>
            <w:tr w:rsidR="001D7634" w14:paraId="7A3B2B80" w14:textId="77777777">
              <w:trPr>
                <w:tblCellSpacing w:w="15" w:type="dxa"/>
              </w:trPr>
              <w:tc>
                <w:tcPr>
                  <w:tcW w:w="0" w:type="auto"/>
                  <w:tcMar>
                    <w:top w:w="15" w:type="dxa"/>
                    <w:left w:w="15" w:type="dxa"/>
                    <w:bottom w:w="15" w:type="dxa"/>
                    <w:right w:w="15" w:type="dxa"/>
                  </w:tcMar>
                  <w:vAlign w:val="center"/>
                </w:tcPr>
                <w:p w14:paraId="0C5E5ECF"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b/>
                      <w:bCs/>
                      <w:color w:val="000000"/>
                      <w:sz w:val="22"/>
                    </w:rPr>
                    <w:t>Item</w:t>
                  </w:r>
                </w:p>
              </w:tc>
              <w:tc>
                <w:tcPr>
                  <w:tcW w:w="0" w:type="auto"/>
                  <w:tcMar>
                    <w:top w:w="15" w:type="dxa"/>
                    <w:left w:w="15" w:type="dxa"/>
                    <w:bottom w:w="15" w:type="dxa"/>
                    <w:right w:w="15" w:type="dxa"/>
                  </w:tcMar>
                  <w:vAlign w:val="center"/>
                </w:tcPr>
                <w:p w14:paraId="1B67DAA2"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b/>
                      <w:bCs/>
                      <w:color w:val="000000"/>
                      <w:sz w:val="22"/>
                    </w:rPr>
                    <w:t>Amount</w:t>
                  </w:r>
                </w:p>
              </w:tc>
            </w:tr>
            <w:tr w:rsidR="001D7634" w14:paraId="48EE26E1" w14:textId="77777777">
              <w:trPr>
                <w:tblCellSpacing w:w="15" w:type="dxa"/>
              </w:trPr>
              <w:tc>
                <w:tcPr>
                  <w:tcW w:w="0" w:type="auto"/>
                  <w:tcMar>
                    <w:top w:w="15" w:type="dxa"/>
                    <w:left w:w="15" w:type="dxa"/>
                    <w:bottom w:w="15" w:type="dxa"/>
                    <w:right w:w="15" w:type="dxa"/>
                  </w:tcMar>
                  <w:vAlign w:val="center"/>
                </w:tcPr>
                <w:p w14:paraId="4B00C59C"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Technology spend above budget to include ipad covers, USB backups</w:t>
                  </w:r>
                </w:p>
              </w:tc>
              <w:tc>
                <w:tcPr>
                  <w:tcW w:w="0" w:type="auto"/>
                  <w:tcMar>
                    <w:top w:w="15" w:type="dxa"/>
                    <w:left w:w="15" w:type="dxa"/>
                    <w:bottom w:w="15" w:type="dxa"/>
                    <w:right w:w="15" w:type="dxa"/>
                  </w:tcMar>
                  <w:vAlign w:val="center"/>
                </w:tcPr>
                <w:p w14:paraId="77A9D21A"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$5,340</w:t>
                  </w:r>
                </w:p>
              </w:tc>
            </w:tr>
            <w:tr w:rsidR="001D7634" w14:paraId="408C060D" w14:textId="77777777">
              <w:trPr>
                <w:tblCellSpacing w:w="15" w:type="dxa"/>
              </w:trPr>
              <w:tc>
                <w:tcPr>
                  <w:tcW w:w="0" w:type="auto"/>
                  <w:tcMar>
                    <w:top w:w="15" w:type="dxa"/>
                    <w:left w:w="15" w:type="dxa"/>
                    <w:bottom w:w="15" w:type="dxa"/>
                    <w:right w:w="15" w:type="dxa"/>
                  </w:tcMar>
                  <w:vAlign w:val="center"/>
                </w:tcPr>
                <w:p w14:paraId="73567441"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New TV in Learning Street         </w:t>
                  </w:r>
                </w:p>
              </w:tc>
              <w:tc>
                <w:tcPr>
                  <w:tcW w:w="0" w:type="auto"/>
                  <w:tcMar>
                    <w:top w:w="15" w:type="dxa"/>
                    <w:left w:w="15" w:type="dxa"/>
                    <w:bottom w:w="15" w:type="dxa"/>
                    <w:right w:w="15" w:type="dxa"/>
                  </w:tcMar>
                  <w:vAlign w:val="center"/>
                </w:tcPr>
                <w:p w14:paraId="56B6DEBE"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$4,540</w:t>
                  </w:r>
                </w:p>
              </w:tc>
            </w:tr>
            <w:tr w:rsidR="001D7634" w14:paraId="31F3E39B" w14:textId="77777777">
              <w:trPr>
                <w:tblCellSpacing w:w="15" w:type="dxa"/>
              </w:trPr>
              <w:tc>
                <w:tcPr>
                  <w:tcW w:w="0" w:type="auto"/>
                  <w:tcMar>
                    <w:top w:w="15" w:type="dxa"/>
                    <w:left w:w="15" w:type="dxa"/>
                    <w:bottom w:w="15" w:type="dxa"/>
                    <w:right w:w="15" w:type="dxa"/>
                  </w:tcMar>
                  <w:vAlign w:val="center"/>
                </w:tcPr>
                <w:p w14:paraId="56D0F132"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New Air conditioners x 2            </w:t>
                  </w:r>
                </w:p>
              </w:tc>
              <w:tc>
                <w:tcPr>
                  <w:tcW w:w="0" w:type="auto"/>
                  <w:tcMar>
                    <w:top w:w="15" w:type="dxa"/>
                    <w:left w:w="15" w:type="dxa"/>
                    <w:bottom w:w="15" w:type="dxa"/>
                    <w:right w:w="15" w:type="dxa"/>
                  </w:tcMar>
                  <w:vAlign w:val="center"/>
                </w:tcPr>
                <w:p w14:paraId="28C1E827"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$7,916</w:t>
                  </w:r>
                </w:p>
              </w:tc>
            </w:tr>
            <w:tr w:rsidR="001D7634" w14:paraId="38C7012A" w14:textId="77777777">
              <w:trPr>
                <w:tblCellSpacing w:w="15" w:type="dxa"/>
              </w:trPr>
              <w:tc>
                <w:tcPr>
                  <w:tcW w:w="0" w:type="auto"/>
                  <w:tcMar>
                    <w:top w:w="15" w:type="dxa"/>
                    <w:left w:w="15" w:type="dxa"/>
                    <w:bottom w:w="15" w:type="dxa"/>
                    <w:right w:w="15" w:type="dxa"/>
                  </w:tcMar>
                  <w:vAlign w:val="center"/>
                </w:tcPr>
                <w:p w14:paraId="746F7710"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Fire Pump and pressure pump replacement after 14 years  </w:t>
                  </w:r>
                </w:p>
              </w:tc>
              <w:tc>
                <w:tcPr>
                  <w:tcW w:w="0" w:type="auto"/>
                  <w:tcMar>
                    <w:top w:w="15" w:type="dxa"/>
                    <w:left w:w="15" w:type="dxa"/>
                    <w:bottom w:w="15" w:type="dxa"/>
                    <w:right w:w="15" w:type="dxa"/>
                  </w:tcMar>
                  <w:vAlign w:val="center"/>
                </w:tcPr>
                <w:p w14:paraId="7337A522"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$10,027</w:t>
                  </w:r>
                </w:p>
              </w:tc>
            </w:tr>
            <w:tr w:rsidR="001D7634" w14:paraId="7674AE8D" w14:textId="77777777">
              <w:trPr>
                <w:tblCellSpacing w:w="15" w:type="dxa"/>
              </w:trPr>
              <w:tc>
                <w:tcPr>
                  <w:tcW w:w="0" w:type="auto"/>
                  <w:tcMar>
                    <w:top w:w="15" w:type="dxa"/>
                    <w:left w:w="15" w:type="dxa"/>
                    <w:bottom w:w="15" w:type="dxa"/>
                    <w:right w:w="15" w:type="dxa"/>
                  </w:tcMar>
                  <w:vAlign w:val="center"/>
                </w:tcPr>
                <w:p w14:paraId="45846CD1"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Painting of Mod 5 – internal and external                           </w:t>
                  </w:r>
                </w:p>
              </w:tc>
              <w:tc>
                <w:tcPr>
                  <w:tcW w:w="0" w:type="auto"/>
                  <w:tcMar>
                    <w:top w:w="15" w:type="dxa"/>
                    <w:left w:w="15" w:type="dxa"/>
                    <w:bottom w:w="15" w:type="dxa"/>
                    <w:right w:w="15" w:type="dxa"/>
                  </w:tcMar>
                  <w:vAlign w:val="center"/>
                </w:tcPr>
                <w:p w14:paraId="044F6F7D"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$6,090</w:t>
                  </w:r>
                </w:p>
              </w:tc>
            </w:tr>
            <w:tr w:rsidR="001D7634" w14:paraId="7D1E88CB" w14:textId="77777777">
              <w:trPr>
                <w:tblCellSpacing w:w="15" w:type="dxa"/>
              </w:trPr>
              <w:tc>
                <w:tcPr>
                  <w:tcW w:w="0" w:type="auto"/>
                  <w:tcMar>
                    <w:top w:w="15" w:type="dxa"/>
                    <w:left w:w="15" w:type="dxa"/>
                    <w:bottom w:w="15" w:type="dxa"/>
                    <w:right w:w="15" w:type="dxa"/>
                  </w:tcMar>
                  <w:vAlign w:val="center"/>
                </w:tcPr>
                <w:p w14:paraId="75595480"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Flagpoles          </w:t>
                  </w:r>
                </w:p>
              </w:tc>
              <w:tc>
                <w:tcPr>
                  <w:tcW w:w="0" w:type="auto"/>
                  <w:tcMar>
                    <w:top w:w="15" w:type="dxa"/>
                    <w:left w:w="15" w:type="dxa"/>
                    <w:bottom w:w="15" w:type="dxa"/>
                    <w:right w:w="15" w:type="dxa"/>
                  </w:tcMar>
                  <w:vAlign w:val="center"/>
                </w:tcPr>
                <w:p w14:paraId="7F0BA74F"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$3,248</w:t>
                  </w:r>
                </w:p>
              </w:tc>
            </w:tr>
            <w:tr w:rsidR="001D7634" w14:paraId="205D5988" w14:textId="77777777">
              <w:trPr>
                <w:tblCellSpacing w:w="15" w:type="dxa"/>
              </w:trPr>
              <w:tc>
                <w:tcPr>
                  <w:tcW w:w="0" w:type="auto"/>
                  <w:tcMar>
                    <w:top w:w="15" w:type="dxa"/>
                    <w:left w:w="15" w:type="dxa"/>
                    <w:bottom w:w="15" w:type="dxa"/>
                    <w:right w:w="15" w:type="dxa"/>
                  </w:tcMar>
                  <w:vAlign w:val="center"/>
                </w:tcPr>
                <w:p w14:paraId="1772C0C5"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lastRenderedPageBreak/>
                    <w:t>Additional OHSC spending – 2025 loss</w:t>
                  </w:r>
                </w:p>
              </w:tc>
              <w:tc>
                <w:tcPr>
                  <w:tcW w:w="0" w:type="auto"/>
                  <w:tcMar>
                    <w:top w:w="15" w:type="dxa"/>
                    <w:left w:w="15" w:type="dxa"/>
                    <w:bottom w:w="15" w:type="dxa"/>
                    <w:right w:w="15" w:type="dxa"/>
                  </w:tcMar>
                  <w:vAlign w:val="center"/>
                </w:tcPr>
                <w:p w14:paraId="285A0422"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color w:val="000000"/>
                      <w:sz w:val="22"/>
                    </w:rPr>
                    <w:t>$1,918</w:t>
                  </w:r>
                </w:p>
              </w:tc>
            </w:tr>
            <w:tr w:rsidR="001D7634" w14:paraId="48D8904A" w14:textId="77777777">
              <w:trPr>
                <w:tblCellSpacing w:w="15" w:type="dxa"/>
              </w:trPr>
              <w:tc>
                <w:tcPr>
                  <w:tcW w:w="0" w:type="auto"/>
                  <w:tcMar>
                    <w:top w:w="15" w:type="dxa"/>
                    <w:left w:w="15" w:type="dxa"/>
                    <w:bottom w:w="15" w:type="dxa"/>
                    <w:right w:w="15" w:type="dxa"/>
                  </w:tcMar>
                  <w:vAlign w:val="center"/>
                </w:tcPr>
                <w:p w14:paraId="38406D54"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b/>
                      <w:bCs/>
                      <w:color w:val="000000"/>
                      <w:sz w:val="22"/>
                    </w:rPr>
                    <w:t>TOTAL</w:t>
                  </w:r>
                </w:p>
              </w:tc>
              <w:tc>
                <w:tcPr>
                  <w:tcW w:w="0" w:type="auto"/>
                  <w:tcMar>
                    <w:top w:w="15" w:type="dxa"/>
                    <w:left w:w="15" w:type="dxa"/>
                    <w:bottom w:w="15" w:type="dxa"/>
                    <w:right w:w="15" w:type="dxa"/>
                  </w:tcMar>
                  <w:vAlign w:val="center"/>
                </w:tcPr>
                <w:p w14:paraId="1AAF0ED4" w14:textId="77777777" w:rsidR="0050299A" w:rsidRPr="00BB7B33" w:rsidRDefault="0050299A" w:rsidP="00476100">
                  <w:pPr>
                    <w:rPr>
                      <w:rFonts w:ascii="Arial" w:eastAsia="Arial" w:hAnsi="Arial" w:cs="Arial"/>
                      <w:color w:val="000000"/>
                      <w:sz w:val="22"/>
                      <w:szCs w:val="22"/>
                    </w:rPr>
                  </w:pPr>
                  <w:r w:rsidRPr="00BB7B33">
                    <w:rPr>
                      <w:rFonts w:ascii="Arial" w:eastAsia="Arial" w:hAnsi="Arial" w:cs="Arial"/>
                      <w:b/>
                      <w:bCs/>
                      <w:color w:val="000000"/>
                      <w:sz w:val="22"/>
                    </w:rPr>
                    <w:t>$39,079</w:t>
                  </w:r>
                </w:p>
              </w:tc>
            </w:tr>
          </w:tbl>
          <w:p w14:paraId="37244658"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Adjusted Loss figure of $4,706 after taking these into consideration. </w:t>
            </w:r>
          </w:p>
          <w:p w14:paraId="05AB612F"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 Asset Acquisitions $10,891 – Carpet in Mod 5.</w:t>
            </w:r>
          </w:p>
          <w:p w14:paraId="1ABBF8EE" w14:textId="77777777" w:rsidR="0050299A" w:rsidRPr="00BB7B33" w:rsidRDefault="0050299A" w:rsidP="00476100">
            <w:pPr>
              <w:rPr>
                <w:rFonts w:ascii="Arial" w:eastAsia="Arial" w:hAnsi="Arial" w:cs="Arial"/>
                <w:color w:val="auto"/>
                <w:sz w:val="22"/>
                <w:szCs w:val="22"/>
              </w:rPr>
            </w:pPr>
            <w:r w:rsidRPr="00BB7B33">
              <w:rPr>
                <w:rFonts w:ascii="Arial" w:eastAsia="Arial" w:hAnsi="Arial" w:cs="Arial"/>
                <w:color w:val="auto"/>
                <w:sz w:val="22"/>
              </w:rPr>
              <w:t>Our cash balances remain healthy.</w:t>
            </w:r>
          </w:p>
          <w:p w14:paraId="3849866C" w14:textId="77777777" w:rsidR="0050299A" w:rsidRPr="00BB7B33" w:rsidRDefault="0050299A" w:rsidP="00476100">
            <w:pPr>
              <w:rPr>
                <w:rFonts w:ascii="Arial" w:eastAsia="Arial" w:hAnsi="Arial" w:cs="Arial"/>
                <w:color w:val="auto"/>
                <w:sz w:val="22"/>
              </w:rPr>
            </w:pPr>
          </w:p>
        </w:tc>
      </w:tr>
      <w:tr w:rsidR="001D7634" w14:paraId="2B424D80" w14:textId="77777777" w:rsidTr="001D7634">
        <w:tc>
          <w:tcPr>
            <w:cnfStyle w:val="001000000000" w:firstRow="0" w:lastRow="0" w:firstColumn="1" w:lastColumn="0" w:oddVBand="0" w:evenVBand="0" w:oddHBand="0" w:evenHBand="0" w:firstRowFirstColumn="0" w:firstRowLastColumn="0" w:lastRowFirstColumn="0" w:lastRowLastColumn="0"/>
            <w:tcW w:w="9781" w:type="dxa"/>
          </w:tcPr>
          <w:p w14:paraId="36275642" w14:textId="77777777" w:rsidR="0050299A" w:rsidRPr="00BB7B33" w:rsidRDefault="0050299A" w:rsidP="00476100"/>
          <w:p w14:paraId="1E24F5F9" w14:textId="77777777" w:rsidR="001D7634" w:rsidRDefault="0050299A">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https://www.toolambaps.vic.edu.au</w:t>
              </w:r>
            </w:hyperlink>
          </w:p>
          <w:p w14:paraId="0AFD1CB0" w14:textId="77777777" w:rsidR="001D7634" w:rsidRDefault="001D7634">
            <w:pPr>
              <w:rPr>
                <w:rFonts w:ascii="Arial" w:eastAsia="Arial" w:hAnsi="Arial" w:cs="Arial"/>
                <w:sz w:val="22"/>
              </w:rPr>
            </w:pPr>
          </w:p>
        </w:tc>
      </w:tr>
    </w:tbl>
    <w:p w14:paraId="29A3FEDE" w14:textId="77777777" w:rsidR="0050299A" w:rsidRDefault="0050299A" w:rsidP="004827CE">
      <w:pPr>
        <w:spacing w:before="0" w:after="0" w:line="240" w:lineRule="auto"/>
      </w:pPr>
    </w:p>
    <w:p w14:paraId="13755C8C" w14:textId="77777777" w:rsidR="0050299A" w:rsidRDefault="0050299A">
      <w:pPr>
        <w:spacing w:before="0" w:after="0" w:line="240" w:lineRule="auto"/>
      </w:pPr>
      <w:r>
        <w:br w:type="page"/>
      </w:r>
    </w:p>
    <w:p w14:paraId="186C2ECB" w14:textId="77777777" w:rsidR="0050299A" w:rsidRDefault="0050299A" w:rsidP="004827CE">
      <w:pPr>
        <w:spacing w:before="0" w:after="0" w:line="240" w:lineRule="auto"/>
        <w:sectPr w:rsidR="00147B2E" w:rsidSect="0024636E">
          <w:pgSz w:w="11900" w:h="16840"/>
          <w:pgMar w:top="1882" w:right="567" w:bottom="1701" w:left="567" w:header="227" w:footer="0" w:gutter="0"/>
          <w:cols w:space="708"/>
          <w:docGrid w:linePitch="360"/>
        </w:sectPr>
      </w:pPr>
    </w:p>
    <w:p w14:paraId="094BE39D" w14:textId="77777777" w:rsidR="001D7634" w:rsidRDefault="0050299A">
      <w:pPr>
        <w:pStyle w:val="Heading11"/>
      </w:pPr>
      <w:bookmarkStart w:id="9" w:name="performance-summary"/>
      <w:bookmarkEnd w:id="2"/>
      <w:bookmarkEnd w:id="8"/>
      <w:r>
        <w:lastRenderedPageBreak/>
        <w:t>PERFORMANCE SUMMARY</w:t>
      </w:r>
    </w:p>
    <w:p w14:paraId="3F67A48C" w14:textId="77777777" w:rsidR="001D7634" w:rsidRDefault="0050299A">
      <w:r>
        <w:t>The Performance Summary for government schools provides an overview of how this school is contributing to the objectives of the Education State and how it compares to other Victorian government schools.</w:t>
      </w:r>
    </w:p>
    <w:p w14:paraId="062076A4" w14:textId="77777777" w:rsidR="001D7634" w:rsidRDefault="0050299A">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267414A5" w14:textId="77777777" w:rsidR="001D7634" w:rsidRDefault="0050299A">
      <w:r>
        <w:t>Refer to the ‘How to read the Annual Report’ section for help on how to interpret this report.</w:t>
      </w:r>
    </w:p>
    <w:p w14:paraId="4E48D814" w14:textId="77777777" w:rsidR="001D7634" w:rsidRDefault="0050299A">
      <w:pPr>
        <w:pStyle w:val="Heading21"/>
      </w:pPr>
      <w:bookmarkStart w:id="10" w:name="school-profile"/>
      <w:r>
        <w:t>SCHOOL PROFILE</w:t>
      </w:r>
    </w:p>
    <w:p w14:paraId="5B9664CF" w14:textId="77777777" w:rsidR="001D7634" w:rsidRDefault="0050299A">
      <w:pPr>
        <w:pStyle w:val="Heading31"/>
      </w:pPr>
      <w:bookmarkStart w:id="11" w:name="enrolment-profile"/>
      <w:r>
        <w:t>Enrolment Profile</w:t>
      </w:r>
    </w:p>
    <w:p w14:paraId="33A64878" w14:textId="77777777" w:rsidR="001D7634" w:rsidRDefault="0050299A">
      <w:r>
        <w:t xml:space="preserve">A total of 123 students were enrolled at this school in 2025, 51 female and 72 male. NDP had English as an additional language and NDP were Aboriginal or Torres Strait Islander. </w:t>
      </w:r>
    </w:p>
    <w:p w14:paraId="0D36F352" w14:textId="77777777" w:rsidR="001D7634" w:rsidRDefault="0050299A">
      <w:pPr>
        <w:pStyle w:val="Heading31"/>
      </w:pPr>
      <w:bookmarkStart w:id="12" w:name="overall-socio-economic-profile"/>
      <w:bookmarkEnd w:id="11"/>
      <w:r>
        <w:t>Overall Socio-Economic Profile</w:t>
      </w:r>
    </w:p>
    <w:p w14:paraId="10214E75" w14:textId="77777777" w:rsidR="001D7634" w:rsidRDefault="0050299A">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Low - Medium</w:t>
      </w:r>
      <w:r>
        <w:t>.</w:t>
      </w:r>
    </w:p>
    <w:p w14:paraId="68CBA4C9" w14:textId="77777777" w:rsidR="001D7634" w:rsidRDefault="0050299A">
      <w:pPr>
        <w:pStyle w:val="Heading31"/>
      </w:pPr>
      <w:bookmarkStart w:id="13" w:name="parent-satisfaction-summary"/>
      <w:bookmarkEnd w:id="12"/>
      <w:r>
        <w:t>Parent Satisfaction Summary</w:t>
      </w:r>
    </w:p>
    <w:p w14:paraId="677D9B64" w14:textId="77777777" w:rsidR="001D7634" w:rsidRDefault="0050299A">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1D7634" w14:paraId="570FA08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8BF4C81"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DE6D066"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AD5A33B"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0E407E4"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1D7634" w14:paraId="1760584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D8E27B3"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195AA89"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5BC1F91"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D13B054"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2AB0D27" wp14:editId="77244BD5">
                  <wp:extent cx="731520" cy="182880"/>
                  <wp:effectExtent l="0" t="0" r="0" b="0"/>
                  <wp:docPr id="1936062387" name="Picture 193606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1D7634" w14:paraId="560DC35B"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626E2B2"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CD3B721"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1255F7A"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1CCBA2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67E3333" wp14:editId="727F1001">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1D7634" w14:paraId="3541533D"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90C5099"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7CF5EB"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CF3074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26AC62B"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F95E676" wp14:editId="04B6E628">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2623090E" w14:textId="77777777" w:rsidR="001D7634" w:rsidRDefault="0050299A">
      <w:pPr>
        <w:pStyle w:val="Heading31"/>
      </w:pPr>
      <w:bookmarkStart w:id="14" w:name="school-staff-survey"/>
      <w:bookmarkEnd w:id="13"/>
      <w:r>
        <w:t>School Staff Survey</w:t>
      </w:r>
    </w:p>
    <w:p w14:paraId="291F12EA" w14:textId="77777777" w:rsidR="001D7634" w:rsidRDefault="0050299A">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1D7634" w14:paraId="5715ABA2"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82550A9"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A9418F8"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E8EB710"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411B9E7"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1D7634" w14:paraId="33B924AA"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5664216"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F0236D5"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2FE787F"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761885D"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7A8433A" wp14:editId="0D27F8D7">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1D7634" w14:paraId="2DE52F51"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0C04F2B"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CAA146A"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3DE00A6"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6CBA77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18211D1" wp14:editId="05F2643C">
                  <wp:extent cx="731520" cy="182880"/>
                  <wp:effectExtent l="0" t="0" r="0" b="0"/>
                  <wp:docPr id="1335718370" name="Picture 133571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1D7634" w14:paraId="37061F2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C550626"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4D9C3D5"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3AAF0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35961B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FBF517" wp14:editId="62F63C09">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bl>
    <w:p w14:paraId="00E57F60" w14:textId="77777777" w:rsidR="001D7634" w:rsidRDefault="0050299A">
      <w:pPr>
        <w:pStyle w:val="Heading21"/>
      </w:pPr>
      <w:bookmarkStart w:id="15" w:name="learning"/>
      <w:bookmarkEnd w:id="10"/>
      <w:bookmarkEnd w:id="14"/>
      <w:r>
        <w:lastRenderedPageBreak/>
        <w:t>LEARNING</w:t>
      </w:r>
    </w:p>
    <w:p w14:paraId="7F542A70" w14:textId="77777777" w:rsidR="001D7634" w:rsidRDefault="0050299A">
      <w:pPr>
        <w:pStyle w:val="Heading31"/>
      </w:pPr>
      <w:bookmarkStart w:id="16" w:name="Xd3002550eeab6e7db743681fe2e67981201cd7b"/>
      <w:r>
        <w:t>Teacher Judgement of student achievement against the Victorian Curriculum</w:t>
      </w:r>
    </w:p>
    <w:p w14:paraId="5AECFD1A" w14:textId="77777777" w:rsidR="001D7634" w:rsidRDefault="0050299A">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1D7634" w14:paraId="63A8C97D"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0B6C1E9"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E39DDF7"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D0509C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555B260"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1D7634" w14:paraId="25C5C2BB"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D46BE97"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E0A7C32"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34B8618"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3643158"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B6A0674" wp14:editId="4D865A2B">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1D7634" w14:paraId="63E7CBC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ECC3788"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7B2DB3"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952F4D"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447FCE"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3E0F25" wp14:editId="05D7CB06">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1D7634" w14:paraId="683BF7F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E81E8F0"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D20FE2"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B842FE"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0EEE7B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2944AB8" wp14:editId="4E034EC2">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1D7634" w14:paraId="080FD585"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FA5EB65"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B446D5C"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B24634D"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E0244A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FF1411D" wp14:editId="155BF12B">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1D7634" w14:paraId="11E8B8D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27EFA8C"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C5EC5A5"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D11D4A"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35D6B42"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33FCD60" wp14:editId="41B68BAE">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1D7634" w14:paraId="31525D81"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807DF3B"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10BAD14"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7FBBF8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EF105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1967B6" wp14:editId="50AC5EE6">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bl>
    <w:p w14:paraId="3FD9E26C" w14:textId="77777777" w:rsidR="001D7634" w:rsidRDefault="0050299A">
      <w:pPr>
        <w:pStyle w:val="Heading31"/>
      </w:pPr>
      <w:bookmarkStart w:id="17" w:name="naplan"/>
      <w:bookmarkEnd w:id="16"/>
      <w:r>
        <w:t>NAPLAN</w:t>
      </w:r>
    </w:p>
    <w:p w14:paraId="24D02ACB" w14:textId="77777777" w:rsidR="001D7634" w:rsidRDefault="0050299A">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1D7634" w14:paraId="42DE3503"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61067440"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FA6B888"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A0207DB"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AF43D37"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6DD4CF6"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1D7634" w14:paraId="7A492410"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1A47E0B"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E84508C"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51301E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55.6%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3D8657"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FC176B7" wp14:editId="3BF45087">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145775A6"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72.5%</w:t>
            </w:r>
          </w:p>
        </w:tc>
      </w:tr>
      <w:tr w:rsidR="001D7634" w14:paraId="4B8E3DE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2F973F2"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6E1E7C1"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3848C9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133109"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C2233C" wp14:editId="00CE869F">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E4D038E"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1D7634" w14:paraId="601AE62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AE955D5"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48E857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A35C8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21A49F"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E0F42BA" wp14:editId="7A7F9F8D">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DB55215"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1D7634" w14:paraId="10C33285"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2FCC0E3"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5807FF5"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DB9BC64"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7CFF66"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18E298" wp14:editId="0EB98E8E">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4B5ED94D"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79.6%</w:t>
            </w:r>
          </w:p>
        </w:tc>
      </w:tr>
      <w:tr w:rsidR="001D7634" w14:paraId="4E4D879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B75E019"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422F95E"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CC586A2"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0CAB584"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F9E8CF0" wp14:editId="0091CB9A">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BA2596C"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76.1%</w:t>
            </w:r>
          </w:p>
        </w:tc>
      </w:tr>
      <w:tr w:rsidR="001D7634" w14:paraId="54FDC093"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F574902"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987818"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43E43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9623D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43C8286" wp14:editId="506835A2">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3E9A222"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1D7634" w14:paraId="38AEDAFB"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5D1B985"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9C6EF4A"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FD6F120"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3ED5395"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8DE5CE5" wp14:editId="159E9D41">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52AC57BD"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86.3%</w:t>
            </w:r>
          </w:p>
        </w:tc>
      </w:tr>
      <w:tr w:rsidR="001D7634" w14:paraId="5D8FABE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713A98D"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85C3BF2"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57495D2"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4A46A24"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0374D9" wp14:editId="7CA65F14">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2889A2E"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68.6%</w:t>
            </w:r>
          </w:p>
        </w:tc>
      </w:tr>
      <w:tr w:rsidR="001D7634" w14:paraId="57D49CA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BC2AAE9"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6239F5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FA569DC"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7DAE3CE"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59A6F97" wp14:editId="60B7B378">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362293B"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1D7634" w14:paraId="31F06236"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28A221D"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84B608A"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EC37C3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C80AA37"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26CE49B" wp14:editId="268AB1E7">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F0EB2DB"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96.2%</w:t>
            </w:r>
          </w:p>
        </w:tc>
      </w:tr>
      <w:tr w:rsidR="001D7634" w14:paraId="2E8E597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DF4859C"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8B6A343"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1A2294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15ED11"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1D7A91D" wp14:editId="397F7EE0">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5349D95"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68.2%</w:t>
            </w:r>
          </w:p>
        </w:tc>
      </w:tr>
      <w:tr w:rsidR="001D7634" w14:paraId="1C812D8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609DE47"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3A1134C"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56E2BB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E8FF4E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B3319D6" wp14:editId="22730501">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3B3318F"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22BBF061" w14:textId="77777777" w:rsidR="001D7634" w:rsidRDefault="0050299A">
      <w:pPr>
        <w:pStyle w:val="Heading31"/>
      </w:pPr>
      <w:bookmarkStart w:id="18" w:name="naplan-relative-growth"/>
      <w:bookmarkEnd w:id="17"/>
      <w:r>
        <w:t>NAPLAN relative growth</w:t>
      </w:r>
    </w:p>
    <w:p w14:paraId="1F018166" w14:textId="77777777" w:rsidR="001D7634" w:rsidRDefault="0050299A">
      <w:r>
        <w:t>The percentage of students in the High and Medium relative growth categories.</w:t>
      </w:r>
    </w:p>
    <w:p w14:paraId="17CDD676" w14:textId="77777777" w:rsidR="001D7634" w:rsidRDefault="0050299A">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4EA92D61" w14:textId="77777777" w:rsidR="001D7634" w:rsidRDefault="0050299A">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1D7634" w14:paraId="6D010031"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B3ECB23"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303E2F1"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726209B"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CBD80BF"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1D7634" w14:paraId="6E27E633"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A714BB7"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7728552"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F716C77"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5AC44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193BE52" wp14:editId="0BF92A28">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r w:rsidR="001D7634" w14:paraId="485C1D3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BB724A6"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C0599FF"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DF18D20"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6BFD506"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0D2F641" wp14:editId="683DFE84">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r w:rsidR="001D7634" w14:paraId="4CEFBE4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0D8F516"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E3F1260"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B0CE5C"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DE95F0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D5A052A" wp14:editId="7184F5B8">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1D7634" w14:paraId="579699BA"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46373C0"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65C4AF1"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DB3D03F"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648F2C8"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4D38F67" wp14:editId="13312A21">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1D7634" w14:paraId="4A4E75F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79461D1"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2796253"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5BDC400"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C14F02A"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29E0F2" wp14:editId="41A77D27">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1D7634" w14:paraId="12FB83D1"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F115921"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795283F"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035C9E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8ECA8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17927D2" wp14:editId="2FF97749">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55FCB14E" w14:textId="77777777" w:rsidR="001D7634" w:rsidRDefault="0050299A">
      <w:r>
        <w:br w:type="page"/>
      </w:r>
    </w:p>
    <w:p w14:paraId="5A2AE902" w14:textId="77777777" w:rsidR="001D7634" w:rsidRDefault="0050299A">
      <w:pPr>
        <w:pStyle w:val="Heading21"/>
      </w:pPr>
      <w:bookmarkStart w:id="19" w:name="wellbeing"/>
      <w:bookmarkEnd w:id="15"/>
      <w:bookmarkEnd w:id="18"/>
      <w:r>
        <w:lastRenderedPageBreak/>
        <w:t>WELLBEING</w:t>
      </w:r>
    </w:p>
    <w:p w14:paraId="3B39CC3E" w14:textId="77777777" w:rsidR="001D7634" w:rsidRDefault="0050299A">
      <w:pPr>
        <w:pStyle w:val="Heading31"/>
      </w:pPr>
      <w:bookmarkStart w:id="20" w:name="X4f312c496442aa9386762e79446d80aa9d20262"/>
      <w:r>
        <w:t>Student Attitudes to School – Sense of Connectedness</w:t>
      </w:r>
    </w:p>
    <w:p w14:paraId="335D2A2F" w14:textId="77777777" w:rsidR="001D7634" w:rsidRDefault="0050299A">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1D7634" w14:paraId="308CB39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182827BD"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7894F42"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9B26966"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C824066"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BED7ACD"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1D7634" w14:paraId="3DF66FA9"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0D336CC"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EA02C1"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788D5D"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0D40E2A"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061F6C0" wp14:editId="1943E551">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23031E1"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81.7%</w:t>
            </w:r>
          </w:p>
        </w:tc>
      </w:tr>
      <w:tr w:rsidR="001D7634" w14:paraId="5F7FEAD2"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2268807"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B3D4206"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1A8C9D"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D9131D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CC1056D" wp14:editId="73FA1EDB">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632A210"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77.0%</w:t>
            </w:r>
          </w:p>
        </w:tc>
      </w:tr>
      <w:tr w:rsidR="001D7634" w14:paraId="7E47190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9605E2B"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1097655"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0D652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3EDA36B"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D7EA5DA" wp14:editId="5EAD846B">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EA30015"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0897A42B" w14:textId="77777777" w:rsidR="001D7634" w:rsidRDefault="0050299A">
      <w:pPr>
        <w:pStyle w:val="Heading31"/>
      </w:pPr>
      <w:bookmarkStart w:id="21" w:name="X6b86cdeac7af42d7b3a46c94b02d37acd34cd49"/>
      <w:bookmarkEnd w:id="20"/>
      <w:r>
        <w:t>Student Attitudes to School – Managing Bullying</w:t>
      </w:r>
    </w:p>
    <w:p w14:paraId="3C81C6E2" w14:textId="77777777" w:rsidR="001D7634" w:rsidRDefault="0050299A">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1D7634" w14:paraId="07CC67F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9B7ADF5"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6997262"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7C60665"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2F04702"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6E0C402"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1D7634" w14:paraId="73D7485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7BDDE33"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A023872"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23C592A"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355B61"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BDF01C" wp14:editId="2EB149F3">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19FF57C8"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77.7%</w:t>
            </w:r>
          </w:p>
        </w:tc>
      </w:tr>
      <w:tr w:rsidR="001D7634" w14:paraId="667C478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4FEC153"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C4B4E1D"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0009AE1"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2429C9B"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26EB8B5" wp14:editId="4CB0D1E4">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07EAB3F"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79.7%</w:t>
            </w:r>
          </w:p>
        </w:tc>
      </w:tr>
      <w:tr w:rsidR="001D7634" w14:paraId="2C8C34F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8D21137"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DEB43C5"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593BFC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30D54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710560" wp14:editId="28E7FCC8">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C7340DD"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19D93ABB" w14:textId="77777777" w:rsidR="001D7634" w:rsidRDefault="0050299A">
      <w:r>
        <w:br w:type="page"/>
      </w:r>
    </w:p>
    <w:p w14:paraId="3DAEDE97" w14:textId="77777777" w:rsidR="001D7634" w:rsidRDefault="0050299A">
      <w:pPr>
        <w:pStyle w:val="Heading21"/>
      </w:pPr>
      <w:bookmarkStart w:id="22" w:name="engagement"/>
      <w:bookmarkEnd w:id="19"/>
      <w:bookmarkEnd w:id="21"/>
      <w:r>
        <w:lastRenderedPageBreak/>
        <w:t>ENGAGEMENT</w:t>
      </w:r>
    </w:p>
    <w:p w14:paraId="789E2BB5" w14:textId="77777777" w:rsidR="001D7634" w:rsidRDefault="0050299A">
      <w:pPr>
        <w:pStyle w:val="Heading31"/>
      </w:pPr>
      <w:bookmarkStart w:id="23" w:name="average-absence-days-per-student"/>
      <w:r>
        <w:t>Average absence days per student</w:t>
      </w:r>
    </w:p>
    <w:p w14:paraId="66FFAB53" w14:textId="77777777" w:rsidR="001D7634" w:rsidRDefault="0050299A">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1D7634" w14:paraId="4866589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95C70A2"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A59DCC0"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476B327"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8C3AD3F"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5DA07B3"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1D7634" w14:paraId="53F4E06C"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96238CF"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82A1265" w14:textId="77777777" w:rsidR="001D7634" w:rsidRDefault="0050299A">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110AB8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791E130"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6D95461" wp14:editId="3A86F145">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6278EBA4"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17.1</w:t>
            </w:r>
          </w:p>
        </w:tc>
      </w:tr>
      <w:tr w:rsidR="001D7634" w14:paraId="1B0D57F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4527403" w14:textId="77777777" w:rsidR="001D7634" w:rsidRDefault="001D7634">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A397CB2" w14:textId="77777777" w:rsidR="001D7634" w:rsidRDefault="0050299A">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A7177D5"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E0EDE93"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5E2AA59" wp14:editId="43AE00B5">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7B7D9014" w14:textId="77777777" w:rsidR="001D7634" w:rsidRDefault="0050299A">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21.1</w:t>
            </w:r>
          </w:p>
        </w:tc>
      </w:tr>
      <w:tr w:rsidR="001D7634" w14:paraId="5E321C6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9F351A6" w14:textId="77777777" w:rsidR="001D7634" w:rsidRDefault="001D7634">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69047B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1CEFDB"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92A885C"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55DFA92" wp14:editId="01626C37">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FBE2F87" w14:textId="77777777" w:rsidR="001D7634" w:rsidRDefault="0050299A">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43790E8F" w14:textId="77777777" w:rsidR="001D7634" w:rsidRDefault="0050299A">
      <w:pPr>
        <w:pStyle w:val="Heading31"/>
      </w:pPr>
      <w:bookmarkStart w:id="24" w:name="attendance-rate"/>
      <w:bookmarkEnd w:id="23"/>
      <w:r>
        <w:t>Attendance rate</w:t>
      </w:r>
    </w:p>
    <w:p w14:paraId="16306E0D" w14:textId="77777777" w:rsidR="001D7634" w:rsidRDefault="0050299A">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1D7634" w14:paraId="54FDD7B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AFAA3FD"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C7214BF"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F92DC8C" w14:textId="77777777" w:rsidR="001D7634" w:rsidRDefault="0050299A">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023B5AF" w14:textId="77777777" w:rsidR="001D7634" w:rsidRDefault="001D7634">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1D7634" w14:paraId="2FF6F30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949327E"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822C949"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90FA9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9EA637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DE1DCC" wp14:editId="5F29EE34">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1D7634" w14:paraId="58650352"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FD5ED8B"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D06C876"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451DF9"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9BC1C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6A4370D" wp14:editId="44E0D8B8">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r w:rsidR="001D7634" w14:paraId="2BD6288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63D4472"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7779337"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157A1F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92.4%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ED334F"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0E6F35F" wp14:editId="371345E6">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r w:rsidR="001D7634" w14:paraId="7D5E727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1DE94AB"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2FA5017"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7DF78BE"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27EA9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96D5FD8" wp14:editId="7402DE39">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1D7634" w14:paraId="3156D76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B5A75D5"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867392E"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B097A8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85.6%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AE0DDD"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D141B2E" wp14:editId="776391E5">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r w:rsidR="001D7634" w14:paraId="26625F4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B92C85C"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91D5CDE"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6809CC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0B0F9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E0E465" wp14:editId="6BA6C73D">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r w:rsidR="001D7634" w14:paraId="4F23F0F5"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26EE5348"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FDA9E1"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6AE37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CA55E6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836531D" wp14:editId="571F655D">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bl>
    <w:p w14:paraId="30DFC8C9" w14:textId="77777777" w:rsidR="001D7634" w:rsidRDefault="0050299A">
      <w:r>
        <w:br w:type="page"/>
      </w:r>
    </w:p>
    <w:p w14:paraId="1426A26F" w14:textId="77777777" w:rsidR="001D7634" w:rsidRDefault="0050299A">
      <w:pPr>
        <w:pStyle w:val="Heading11"/>
      </w:pPr>
      <w:bookmarkStart w:id="25" w:name="financial-performance-and-position"/>
      <w:bookmarkEnd w:id="9"/>
      <w:bookmarkEnd w:id="22"/>
      <w:bookmarkEnd w:id="24"/>
      <w:r>
        <w:lastRenderedPageBreak/>
        <w:t>FINANCIAL PERFORMANCE AND POSITION</w:t>
      </w:r>
    </w:p>
    <w:p w14:paraId="293246E1" w14:textId="77777777" w:rsidR="001D7634" w:rsidRDefault="0050299A">
      <w:pPr>
        <w:pStyle w:val="Heading21"/>
      </w:pPr>
      <w:bookmarkStart w:id="26" w:name="X783dfaa01abb5b9bede6e86f0b21a1e5c51f7c7"/>
      <w:r>
        <w:t>FINANCIAL PERFORMANCE - OPERATING STATEMENT SUMMARY FOR THE YEAR ENDING 31 DECEMBER 2025</w:t>
      </w:r>
    </w:p>
    <w:p w14:paraId="08D5F551" w14:textId="77777777" w:rsidR="001D7634" w:rsidRDefault="0050299A">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1D7634" w14:paraId="052BEDB7"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330D428"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347D10E"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1D7634" w14:paraId="422A68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4B40FA"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0872D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$1,647,987</w:t>
            </w:r>
          </w:p>
        </w:tc>
      </w:tr>
      <w:tr w:rsidR="001D7634" w14:paraId="642CDC2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F9518B"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BA326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$202,401</w:t>
            </w:r>
          </w:p>
        </w:tc>
      </w:tr>
      <w:tr w:rsidR="001D7634" w14:paraId="25D3A7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06C798"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23DCA0"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$17,550</w:t>
            </w:r>
          </w:p>
        </w:tc>
      </w:tr>
      <w:tr w:rsidR="001D7634" w14:paraId="2494C1E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D7C22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410620"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2D9E058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E0AC2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39A5E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$69,187</w:t>
            </w:r>
          </w:p>
        </w:tc>
      </w:tr>
      <w:tr w:rsidR="001D7634" w14:paraId="5D540AE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47D761"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1E5FF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$231,005</w:t>
            </w:r>
          </w:p>
        </w:tc>
      </w:tr>
      <w:tr w:rsidR="001D7634" w14:paraId="4AE116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340687"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EB607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469A304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8360CF3"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C9B8DC3"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$2,168,129</w:t>
            </w:r>
          </w:p>
        </w:tc>
      </w:tr>
    </w:tbl>
    <w:p w14:paraId="243A1338" w14:textId="77777777" w:rsidR="001D7634" w:rsidRDefault="0050299A">
      <w:r>
        <w:t> </w:t>
      </w:r>
    </w:p>
    <w:tbl>
      <w:tblPr>
        <w:tblW w:w="0" w:type="auto"/>
        <w:jc w:val="center"/>
        <w:tblLayout w:type="fixed"/>
        <w:tblLook w:val="0420" w:firstRow="1" w:lastRow="0" w:firstColumn="0" w:lastColumn="0" w:noHBand="0" w:noVBand="1"/>
      </w:tblPr>
      <w:tblGrid>
        <w:gridCol w:w="7632"/>
        <w:gridCol w:w="2592"/>
      </w:tblGrid>
      <w:tr w:rsidR="001D7634" w14:paraId="7B8B30B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3000A82"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39FFBC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1D7634" w14:paraId="2689DAD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D8255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1D13B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$16,384</w:t>
            </w:r>
          </w:p>
        </w:tc>
      </w:tr>
      <w:tr w:rsidR="001D7634" w14:paraId="6A3612B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9CA300"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26026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504C310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79ABC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010A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34F089E2"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600FF1C"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F477F6F"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$16,384</w:t>
            </w:r>
          </w:p>
        </w:tc>
      </w:tr>
      <w:tr w:rsidR="001D7634" w14:paraId="487C0DE7"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0AE684A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5A2E2DD5" w14:textId="77777777" w:rsidR="001D7634" w:rsidRDefault="0050299A">
      <w:r>
        <w:t> </w:t>
      </w:r>
    </w:p>
    <w:tbl>
      <w:tblPr>
        <w:tblW w:w="0" w:type="auto"/>
        <w:jc w:val="center"/>
        <w:tblLayout w:type="fixed"/>
        <w:tblLook w:val="0420" w:firstRow="1" w:lastRow="0" w:firstColumn="0" w:lastColumn="0" w:noHBand="0" w:noVBand="1"/>
      </w:tblPr>
      <w:tblGrid>
        <w:gridCol w:w="7632"/>
        <w:gridCol w:w="2592"/>
      </w:tblGrid>
      <w:tr w:rsidR="001D7634" w14:paraId="7671877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8A13931"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C1BED7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1D7634" w14:paraId="2E94253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675BB0"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355F4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$1,701,379</w:t>
            </w:r>
          </w:p>
        </w:tc>
      </w:tr>
      <w:tr w:rsidR="001D7634" w14:paraId="0C457D1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659332"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CC863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77B7F3D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DBB88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4344EC"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$2,915</w:t>
            </w:r>
          </w:p>
        </w:tc>
      </w:tr>
      <w:tr w:rsidR="001D7634" w14:paraId="55C323C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1169D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168A4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$68,168</w:t>
            </w:r>
          </w:p>
        </w:tc>
      </w:tr>
      <w:tr w:rsidR="001D7634" w14:paraId="367A0A9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40514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7BBFCD"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$2,511</w:t>
            </w:r>
          </w:p>
        </w:tc>
      </w:tr>
      <w:tr w:rsidR="001D7634" w14:paraId="47CE7FC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F52B03"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7FB1A3"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$39,996</w:t>
            </w:r>
          </w:p>
        </w:tc>
      </w:tr>
      <w:tr w:rsidR="001D7634" w14:paraId="1113255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07C8CF"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AF81CB"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$5,689</w:t>
            </w:r>
          </w:p>
        </w:tc>
      </w:tr>
      <w:tr w:rsidR="001D7634" w14:paraId="223BB00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8D0161"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7AC09B"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2CB90E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DD05CF"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34CD69"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$14,297</w:t>
            </w:r>
          </w:p>
        </w:tc>
      </w:tr>
      <w:tr w:rsidR="001D7634" w14:paraId="62B5D58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724BD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D54B49"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$66,196</w:t>
            </w:r>
          </w:p>
        </w:tc>
      </w:tr>
      <w:tr w:rsidR="001D7634" w14:paraId="17967E2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CCB99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F895C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$101,021</w:t>
            </w:r>
          </w:p>
        </w:tc>
      </w:tr>
      <w:tr w:rsidR="001D7634" w14:paraId="217C017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72AB6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269DAE"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$191,605</w:t>
            </w:r>
          </w:p>
        </w:tc>
      </w:tr>
      <w:tr w:rsidR="001D7634" w14:paraId="33D9D0A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500EB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523575"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$7,105</w:t>
            </w:r>
          </w:p>
        </w:tc>
      </w:tr>
      <w:tr w:rsidR="001D7634" w14:paraId="6DEBB6F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274A6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5E04D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$45,589</w:t>
            </w:r>
          </w:p>
        </w:tc>
      </w:tr>
      <w:tr w:rsidR="001D7634" w14:paraId="5BD6E30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D80BD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4BCBD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64A0AC8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D12032"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CCFA0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6509E57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082DB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CE511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$19,496</w:t>
            </w:r>
          </w:p>
        </w:tc>
      </w:tr>
      <w:tr w:rsidR="001D7634" w14:paraId="2E2777B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7B56F7B"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682ACAF"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$2,265,967</w:t>
            </w:r>
          </w:p>
        </w:tc>
      </w:tr>
      <w:tr w:rsidR="001D7634" w14:paraId="3F28D89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B29500C"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AF0B3A7"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($97,838)</w:t>
            </w:r>
          </w:p>
        </w:tc>
      </w:tr>
      <w:tr w:rsidR="001D7634" w14:paraId="5EAAF8C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D0A31A3"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B1EFBB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$10,891</w:t>
            </w:r>
          </w:p>
        </w:tc>
      </w:tr>
      <w:tr w:rsidR="001D7634" w14:paraId="751BBDF9"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017336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1D7634" w14:paraId="618CDD85"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453E534"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1D7634" w14:paraId="51537054"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741B2B27"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0909156B" w14:textId="77777777" w:rsidR="001D7634" w:rsidRDefault="0050299A">
      <w:r>
        <w:t> </w:t>
      </w:r>
    </w:p>
    <w:p w14:paraId="3C87679D" w14:textId="77777777" w:rsidR="001D7634" w:rsidRDefault="0050299A">
      <w:r>
        <w:br w:type="page"/>
      </w:r>
    </w:p>
    <w:p w14:paraId="319EBF4A" w14:textId="77777777" w:rsidR="001D7634" w:rsidRDefault="0050299A">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1D7634" w14:paraId="3D1994E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21D37C6"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5F1821F"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1D7634" w14:paraId="2FBCD72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728A9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3B4B19"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$369,316</w:t>
            </w:r>
          </w:p>
        </w:tc>
      </w:tr>
      <w:tr w:rsidR="001D7634" w14:paraId="3416B14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978BB2"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D72E4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$21,045</w:t>
            </w:r>
          </w:p>
        </w:tc>
      </w:tr>
      <w:tr w:rsidR="001D7634" w14:paraId="36CCACF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9B008C"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70F75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762AA64F"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513CDE7"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3CEF8C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$390,361</w:t>
            </w:r>
          </w:p>
        </w:tc>
      </w:tr>
    </w:tbl>
    <w:p w14:paraId="5D3B117E" w14:textId="77777777" w:rsidR="001D7634" w:rsidRDefault="0050299A">
      <w:r>
        <w:t> </w:t>
      </w:r>
    </w:p>
    <w:tbl>
      <w:tblPr>
        <w:tblW w:w="0" w:type="auto"/>
        <w:jc w:val="center"/>
        <w:tblLayout w:type="fixed"/>
        <w:tblLook w:val="0420" w:firstRow="1" w:lastRow="0" w:firstColumn="0" w:lastColumn="0" w:noHBand="0" w:noVBand="1"/>
      </w:tblPr>
      <w:tblGrid>
        <w:gridCol w:w="7632"/>
        <w:gridCol w:w="2592"/>
      </w:tblGrid>
      <w:tr w:rsidR="001D7634" w14:paraId="45594798"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E1B0516"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D9EEF9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1D7634" w14:paraId="0E99EAC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1C7BB9"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C3121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$94,098</w:t>
            </w:r>
          </w:p>
        </w:tc>
      </w:tr>
      <w:tr w:rsidR="001D7634" w14:paraId="3CB5A25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D18A46"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B2641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6E25FD9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21A5FF"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E9D890"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272F21B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7EEF5C"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B1845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61C8F9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2CA1EC"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4CC90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4A008B8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22C771"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4A21D4"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2C7812A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F54E6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CE6EA9"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119F8E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71430D"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261926"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$73,292</w:t>
            </w:r>
          </w:p>
        </w:tc>
      </w:tr>
      <w:tr w:rsidR="001D7634" w14:paraId="7D7156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3C4A23"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F4E13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118A83C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224D53"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FD2BEA"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$30,000</w:t>
            </w:r>
          </w:p>
        </w:tc>
      </w:tr>
      <w:tr w:rsidR="001D7634" w14:paraId="5D187F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EE545E"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276348"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57392FF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DD29E7"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9D4A53"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$20,000</w:t>
            </w:r>
          </w:p>
        </w:tc>
      </w:tr>
      <w:tr w:rsidR="001D7634" w14:paraId="0DD0225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F1DA17"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488983"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$25,000</w:t>
            </w:r>
          </w:p>
        </w:tc>
      </w:tr>
      <w:tr w:rsidR="001D7634" w14:paraId="62687C3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C101A0"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681131"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709FC8A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72F851" w14:textId="77777777" w:rsidR="001D7634" w:rsidRDefault="0050299A">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AD1232"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1D7634" w14:paraId="69EE891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CE27DBF" w14:textId="77777777" w:rsidR="001D7634" w:rsidRDefault="0050299A">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7FEED9D" w14:textId="77777777" w:rsidR="001D7634" w:rsidRDefault="0050299A">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$242,390</w:t>
            </w:r>
          </w:p>
        </w:tc>
      </w:tr>
    </w:tbl>
    <w:p w14:paraId="7F0DDDCA" w14:textId="77777777" w:rsidR="001D7634" w:rsidRDefault="0050299A">
      <w:r>
        <w:t> </w:t>
      </w:r>
    </w:p>
    <w:p w14:paraId="5202958D" w14:textId="77777777" w:rsidR="001D7634" w:rsidRDefault="0050299A">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48303623" w14:textId="77777777" w:rsidR="001D7634" w:rsidRDefault="001D7634"/>
    <w:sectPr w:rsidR="001D7634">
      <w:footerReference w:type="default" r:id="rId51"/>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5831" w14:textId="77777777" w:rsidR="0050299A" w:rsidRDefault="0050299A">
      <w:pPr>
        <w:spacing w:before="0" w:after="0" w:line="240" w:lineRule="auto"/>
      </w:pPr>
      <w:r>
        <w:separator/>
      </w:r>
    </w:p>
  </w:endnote>
  <w:endnote w:type="continuationSeparator" w:id="0">
    <w:p w14:paraId="24B1865F" w14:textId="77777777" w:rsidR="0050299A" w:rsidRDefault="005029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2A5" w14:textId="77777777" w:rsidR="0050299A" w:rsidRDefault="0050299A"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EDC2F18" w14:textId="77777777" w:rsidR="0050299A" w:rsidRDefault="0050299A"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6CACA455" w14:textId="77777777" w:rsidR="0050299A" w:rsidRDefault="0050299A"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4D6C320B" wp14:editId="4AC8A20B">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362948D7" w14:textId="77777777" w:rsidR="0050299A" w:rsidRPr="003E29B5" w:rsidRDefault="0050299A"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B975" w14:textId="77777777" w:rsidR="0050299A" w:rsidRDefault="005029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C399" w14:textId="0CEC21E3" w:rsidR="001D7634" w:rsidRDefault="0050299A">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52E06">
      <w:rPr>
        <w:rFonts w:ascii="Arial" w:eastAsia="Arial" w:hAnsi="Arial" w:cs="Arial"/>
        <w:noProof/>
        <w:color w:val="000000"/>
        <w:sz w:val="16"/>
        <w:szCs w:val="16"/>
      </w:rPr>
      <w:t>9</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Toolamba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93B6" w14:textId="77777777" w:rsidR="0050299A" w:rsidRDefault="0050299A">
      <w:pPr>
        <w:spacing w:before="0" w:after="0" w:line="240" w:lineRule="auto"/>
      </w:pPr>
      <w:r>
        <w:separator/>
      </w:r>
    </w:p>
  </w:footnote>
  <w:footnote w:type="continuationSeparator" w:id="0">
    <w:p w14:paraId="3419FFBB" w14:textId="77777777" w:rsidR="0050299A" w:rsidRDefault="005029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113" w14:textId="77777777" w:rsidR="0050299A" w:rsidRDefault="0050299A">
    <w:r>
      <w:rPr>
        <w:noProof/>
        <w:lang w:eastAsia="en-AU"/>
      </w:rPr>
      <mc:AlternateContent>
        <mc:Choice Requires="wps">
          <w:drawing>
            <wp:anchor distT="0" distB="0" distL="114300" distR="114300" simplePos="0" relativeHeight="251660288" behindDoc="0" locked="0" layoutInCell="1" allowOverlap="1" wp14:anchorId="4A3D945D" wp14:editId="37719019">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CD431B5" w14:textId="77777777" w:rsidR="0050299A" w:rsidRDefault="0050299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CE2D" w14:textId="77777777" w:rsidR="0050299A" w:rsidRDefault="0050299A" w:rsidP="000813BF">
    <w:pPr>
      <w:pStyle w:val="Header"/>
      <w:tabs>
        <w:tab w:val="clear" w:pos="4513"/>
        <w:tab w:val="clear" w:pos="9026"/>
      </w:tabs>
      <w:ind w:left="-562" w:right="259"/>
    </w:pPr>
    <w:r>
      <w:rPr>
        <w:noProof/>
      </w:rPr>
      <w:drawing>
        <wp:inline distT="0" distB="0" distL="0" distR="0" wp14:anchorId="1AB1E088" wp14:editId="34FF85E4">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49C0566B" wp14:editId="72C0117F">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742" w14:textId="77777777" w:rsidR="0050299A" w:rsidRDefault="0050299A">
    <w:r>
      <w:rPr>
        <w:noProof/>
        <w:lang w:eastAsia="en-AU"/>
      </w:rPr>
      <mc:AlternateContent>
        <mc:Choice Requires="wps">
          <w:drawing>
            <wp:anchor distT="0" distB="0" distL="114300" distR="114300" simplePos="0" relativeHeight="251658240" behindDoc="0" locked="0" layoutInCell="1" allowOverlap="1" wp14:anchorId="0DFD55DE" wp14:editId="4AD3DF45">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2876958C" w14:textId="77777777" w:rsidR="0050299A" w:rsidRDefault="0050299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B3065C7C">
      <w:start w:val="1"/>
      <w:numFmt w:val="bullet"/>
      <w:pStyle w:val="Bullet2"/>
      <w:lvlText w:val="–"/>
      <w:lvlJc w:val="left"/>
      <w:pPr>
        <w:ind w:left="644" w:hanging="360"/>
      </w:pPr>
      <w:rPr>
        <w:rFonts w:ascii="Arial" w:hAnsi="Arial" w:hint="default"/>
        <w:b w:val="0"/>
        <w:i w:val="0"/>
      </w:rPr>
    </w:lvl>
    <w:lvl w:ilvl="1" w:tplc="9278A104" w:tentative="1">
      <w:start w:val="1"/>
      <w:numFmt w:val="bullet"/>
      <w:lvlText w:val="o"/>
      <w:lvlJc w:val="left"/>
      <w:pPr>
        <w:ind w:left="1440" w:hanging="360"/>
      </w:pPr>
      <w:rPr>
        <w:rFonts w:ascii="Courier New" w:hAnsi="Courier New" w:cs="Courier New" w:hint="default"/>
      </w:rPr>
    </w:lvl>
    <w:lvl w:ilvl="2" w:tplc="B03A3242" w:tentative="1">
      <w:start w:val="1"/>
      <w:numFmt w:val="bullet"/>
      <w:lvlText w:val=""/>
      <w:lvlJc w:val="left"/>
      <w:pPr>
        <w:ind w:left="2160" w:hanging="360"/>
      </w:pPr>
      <w:rPr>
        <w:rFonts w:ascii="Wingdings" w:hAnsi="Wingdings" w:hint="default"/>
      </w:rPr>
    </w:lvl>
    <w:lvl w:ilvl="3" w:tplc="9F68E952" w:tentative="1">
      <w:start w:val="1"/>
      <w:numFmt w:val="bullet"/>
      <w:lvlText w:val=""/>
      <w:lvlJc w:val="left"/>
      <w:pPr>
        <w:ind w:left="2880" w:hanging="360"/>
      </w:pPr>
      <w:rPr>
        <w:rFonts w:ascii="Symbol" w:hAnsi="Symbol" w:hint="default"/>
      </w:rPr>
    </w:lvl>
    <w:lvl w:ilvl="4" w:tplc="8A02EEF4" w:tentative="1">
      <w:start w:val="1"/>
      <w:numFmt w:val="bullet"/>
      <w:lvlText w:val="o"/>
      <w:lvlJc w:val="left"/>
      <w:pPr>
        <w:ind w:left="3600" w:hanging="360"/>
      </w:pPr>
      <w:rPr>
        <w:rFonts w:ascii="Courier New" w:hAnsi="Courier New" w:cs="Courier New" w:hint="default"/>
      </w:rPr>
    </w:lvl>
    <w:lvl w:ilvl="5" w:tplc="C3FC1016" w:tentative="1">
      <w:start w:val="1"/>
      <w:numFmt w:val="bullet"/>
      <w:lvlText w:val=""/>
      <w:lvlJc w:val="left"/>
      <w:pPr>
        <w:ind w:left="4320" w:hanging="360"/>
      </w:pPr>
      <w:rPr>
        <w:rFonts w:ascii="Wingdings" w:hAnsi="Wingdings" w:hint="default"/>
      </w:rPr>
    </w:lvl>
    <w:lvl w:ilvl="6" w:tplc="809C88A6" w:tentative="1">
      <w:start w:val="1"/>
      <w:numFmt w:val="bullet"/>
      <w:lvlText w:val=""/>
      <w:lvlJc w:val="left"/>
      <w:pPr>
        <w:ind w:left="5040" w:hanging="360"/>
      </w:pPr>
      <w:rPr>
        <w:rFonts w:ascii="Symbol" w:hAnsi="Symbol" w:hint="default"/>
      </w:rPr>
    </w:lvl>
    <w:lvl w:ilvl="7" w:tplc="D2CA2D92" w:tentative="1">
      <w:start w:val="1"/>
      <w:numFmt w:val="bullet"/>
      <w:lvlText w:val="o"/>
      <w:lvlJc w:val="left"/>
      <w:pPr>
        <w:ind w:left="5760" w:hanging="360"/>
      </w:pPr>
      <w:rPr>
        <w:rFonts w:ascii="Courier New" w:hAnsi="Courier New" w:cs="Courier New" w:hint="default"/>
      </w:rPr>
    </w:lvl>
    <w:lvl w:ilvl="8" w:tplc="C9F6978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7C12241E">
      <w:numFmt w:val="bullet"/>
      <w:lvlText w:val="•"/>
      <w:lvlJc w:val="left"/>
      <w:pPr>
        <w:ind w:left="1080" w:hanging="720"/>
      </w:pPr>
      <w:rPr>
        <w:rFonts w:ascii="Arial" w:eastAsiaTheme="minorEastAsia" w:hAnsi="Arial" w:cs="Arial" w:hint="default"/>
      </w:rPr>
    </w:lvl>
    <w:lvl w:ilvl="1" w:tplc="FE5A820C" w:tentative="1">
      <w:start w:val="1"/>
      <w:numFmt w:val="bullet"/>
      <w:lvlText w:val="o"/>
      <w:lvlJc w:val="left"/>
      <w:pPr>
        <w:ind w:left="1440" w:hanging="360"/>
      </w:pPr>
      <w:rPr>
        <w:rFonts w:ascii="Courier New" w:hAnsi="Courier New" w:cs="Courier New" w:hint="default"/>
      </w:rPr>
    </w:lvl>
    <w:lvl w:ilvl="2" w:tplc="68D2DC60" w:tentative="1">
      <w:start w:val="1"/>
      <w:numFmt w:val="bullet"/>
      <w:lvlText w:val=""/>
      <w:lvlJc w:val="left"/>
      <w:pPr>
        <w:ind w:left="2160" w:hanging="360"/>
      </w:pPr>
      <w:rPr>
        <w:rFonts w:ascii="Wingdings" w:hAnsi="Wingdings" w:hint="default"/>
      </w:rPr>
    </w:lvl>
    <w:lvl w:ilvl="3" w:tplc="010A506C" w:tentative="1">
      <w:start w:val="1"/>
      <w:numFmt w:val="bullet"/>
      <w:lvlText w:val=""/>
      <w:lvlJc w:val="left"/>
      <w:pPr>
        <w:ind w:left="2880" w:hanging="360"/>
      </w:pPr>
      <w:rPr>
        <w:rFonts w:ascii="Symbol" w:hAnsi="Symbol" w:hint="default"/>
      </w:rPr>
    </w:lvl>
    <w:lvl w:ilvl="4" w:tplc="A8B80A52" w:tentative="1">
      <w:start w:val="1"/>
      <w:numFmt w:val="bullet"/>
      <w:lvlText w:val="o"/>
      <w:lvlJc w:val="left"/>
      <w:pPr>
        <w:ind w:left="3600" w:hanging="360"/>
      </w:pPr>
      <w:rPr>
        <w:rFonts w:ascii="Courier New" w:hAnsi="Courier New" w:cs="Courier New" w:hint="default"/>
      </w:rPr>
    </w:lvl>
    <w:lvl w:ilvl="5" w:tplc="64B293D2" w:tentative="1">
      <w:start w:val="1"/>
      <w:numFmt w:val="bullet"/>
      <w:lvlText w:val=""/>
      <w:lvlJc w:val="left"/>
      <w:pPr>
        <w:ind w:left="4320" w:hanging="360"/>
      </w:pPr>
      <w:rPr>
        <w:rFonts w:ascii="Wingdings" w:hAnsi="Wingdings" w:hint="default"/>
      </w:rPr>
    </w:lvl>
    <w:lvl w:ilvl="6" w:tplc="6E44AC12" w:tentative="1">
      <w:start w:val="1"/>
      <w:numFmt w:val="bullet"/>
      <w:lvlText w:val=""/>
      <w:lvlJc w:val="left"/>
      <w:pPr>
        <w:ind w:left="5040" w:hanging="360"/>
      </w:pPr>
      <w:rPr>
        <w:rFonts w:ascii="Symbol" w:hAnsi="Symbol" w:hint="default"/>
      </w:rPr>
    </w:lvl>
    <w:lvl w:ilvl="7" w:tplc="C6FC30B0" w:tentative="1">
      <w:start w:val="1"/>
      <w:numFmt w:val="bullet"/>
      <w:lvlText w:val="o"/>
      <w:lvlJc w:val="left"/>
      <w:pPr>
        <w:ind w:left="5760" w:hanging="360"/>
      </w:pPr>
      <w:rPr>
        <w:rFonts w:ascii="Courier New" w:hAnsi="Courier New" w:cs="Courier New" w:hint="default"/>
      </w:rPr>
    </w:lvl>
    <w:lvl w:ilvl="8" w:tplc="1A6C29BC"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6BDAE328">
      <w:start w:val="1"/>
      <w:numFmt w:val="bullet"/>
      <w:lvlText w:val=""/>
      <w:lvlJc w:val="left"/>
      <w:pPr>
        <w:ind w:left="720" w:hanging="360"/>
      </w:pPr>
      <w:rPr>
        <w:rFonts w:ascii="Symbol" w:hAnsi="Symbol" w:hint="default"/>
      </w:rPr>
    </w:lvl>
    <w:lvl w:ilvl="1" w:tplc="F32A573E" w:tentative="1">
      <w:start w:val="1"/>
      <w:numFmt w:val="bullet"/>
      <w:lvlText w:val="o"/>
      <w:lvlJc w:val="left"/>
      <w:pPr>
        <w:ind w:left="1440" w:hanging="360"/>
      </w:pPr>
      <w:rPr>
        <w:rFonts w:ascii="Courier New" w:hAnsi="Courier New" w:cs="Courier New" w:hint="default"/>
      </w:rPr>
    </w:lvl>
    <w:lvl w:ilvl="2" w:tplc="6CFA39D6" w:tentative="1">
      <w:start w:val="1"/>
      <w:numFmt w:val="bullet"/>
      <w:lvlText w:val=""/>
      <w:lvlJc w:val="left"/>
      <w:pPr>
        <w:ind w:left="2160" w:hanging="360"/>
      </w:pPr>
      <w:rPr>
        <w:rFonts w:ascii="Wingdings" w:hAnsi="Wingdings" w:hint="default"/>
      </w:rPr>
    </w:lvl>
    <w:lvl w:ilvl="3" w:tplc="2376D466" w:tentative="1">
      <w:start w:val="1"/>
      <w:numFmt w:val="bullet"/>
      <w:lvlText w:val=""/>
      <w:lvlJc w:val="left"/>
      <w:pPr>
        <w:ind w:left="2880" w:hanging="360"/>
      </w:pPr>
      <w:rPr>
        <w:rFonts w:ascii="Symbol" w:hAnsi="Symbol" w:hint="default"/>
      </w:rPr>
    </w:lvl>
    <w:lvl w:ilvl="4" w:tplc="CFC2C0A6" w:tentative="1">
      <w:start w:val="1"/>
      <w:numFmt w:val="bullet"/>
      <w:lvlText w:val="o"/>
      <w:lvlJc w:val="left"/>
      <w:pPr>
        <w:ind w:left="3600" w:hanging="360"/>
      </w:pPr>
      <w:rPr>
        <w:rFonts w:ascii="Courier New" w:hAnsi="Courier New" w:cs="Courier New" w:hint="default"/>
      </w:rPr>
    </w:lvl>
    <w:lvl w:ilvl="5" w:tplc="56E62AC6" w:tentative="1">
      <w:start w:val="1"/>
      <w:numFmt w:val="bullet"/>
      <w:lvlText w:val=""/>
      <w:lvlJc w:val="left"/>
      <w:pPr>
        <w:ind w:left="4320" w:hanging="360"/>
      </w:pPr>
      <w:rPr>
        <w:rFonts w:ascii="Wingdings" w:hAnsi="Wingdings" w:hint="default"/>
      </w:rPr>
    </w:lvl>
    <w:lvl w:ilvl="6" w:tplc="4A3C5436" w:tentative="1">
      <w:start w:val="1"/>
      <w:numFmt w:val="bullet"/>
      <w:lvlText w:val=""/>
      <w:lvlJc w:val="left"/>
      <w:pPr>
        <w:ind w:left="5040" w:hanging="360"/>
      </w:pPr>
      <w:rPr>
        <w:rFonts w:ascii="Symbol" w:hAnsi="Symbol" w:hint="default"/>
      </w:rPr>
    </w:lvl>
    <w:lvl w:ilvl="7" w:tplc="FF48FD54" w:tentative="1">
      <w:start w:val="1"/>
      <w:numFmt w:val="bullet"/>
      <w:lvlText w:val="o"/>
      <w:lvlJc w:val="left"/>
      <w:pPr>
        <w:ind w:left="5760" w:hanging="360"/>
      </w:pPr>
      <w:rPr>
        <w:rFonts w:ascii="Courier New" w:hAnsi="Courier New" w:cs="Courier New" w:hint="default"/>
      </w:rPr>
    </w:lvl>
    <w:lvl w:ilvl="8" w:tplc="422847AA"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21D2E44E">
      <w:start w:val="1"/>
      <w:numFmt w:val="decimal"/>
      <w:pStyle w:val="Numberlist"/>
      <w:lvlText w:val="%1."/>
      <w:lvlJc w:val="left"/>
      <w:pPr>
        <w:ind w:left="720" w:hanging="360"/>
      </w:pPr>
    </w:lvl>
    <w:lvl w:ilvl="1" w:tplc="20A47816" w:tentative="1">
      <w:start w:val="1"/>
      <w:numFmt w:val="lowerLetter"/>
      <w:lvlText w:val="%2."/>
      <w:lvlJc w:val="left"/>
      <w:pPr>
        <w:ind w:left="1440" w:hanging="360"/>
      </w:pPr>
    </w:lvl>
    <w:lvl w:ilvl="2" w:tplc="759C7CF0" w:tentative="1">
      <w:start w:val="1"/>
      <w:numFmt w:val="lowerRoman"/>
      <w:lvlText w:val="%3."/>
      <w:lvlJc w:val="right"/>
      <w:pPr>
        <w:ind w:left="2160" w:hanging="180"/>
      </w:pPr>
    </w:lvl>
    <w:lvl w:ilvl="3" w:tplc="91BC5908" w:tentative="1">
      <w:start w:val="1"/>
      <w:numFmt w:val="decimal"/>
      <w:lvlText w:val="%4."/>
      <w:lvlJc w:val="left"/>
      <w:pPr>
        <w:ind w:left="2880" w:hanging="360"/>
      </w:pPr>
    </w:lvl>
    <w:lvl w:ilvl="4" w:tplc="FE524540" w:tentative="1">
      <w:start w:val="1"/>
      <w:numFmt w:val="lowerLetter"/>
      <w:lvlText w:val="%5."/>
      <w:lvlJc w:val="left"/>
      <w:pPr>
        <w:ind w:left="3600" w:hanging="360"/>
      </w:pPr>
    </w:lvl>
    <w:lvl w:ilvl="5" w:tplc="297CD64C" w:tentative="1">
      <w:start w:val="1"/>
      <w:numFmt w:val="lowerRoman"/>
      <w:lvlText w:val="%6."/>
      <w:lvlJc w:val="right"/>
      <w:pPr>
        <w:ind w:left="4320" w:hanging="180"/>
      </w:pPr>
    </w:lvl>
    <w:lvl w:ilvl="6" w:tplc="ACAE3B8C" w:tentative="1">
      <w:start w:val="1"/>
      <w:numFmt w:val="decimal"/>
      <w:lvlText w:val="%7."/>
      <w:lvlJc w:val="left"/>
      <w:pPr>
        <w:ind w:left="5040" w:hanging="360"/>
      </w:pPr>
    </w:lvl>
    <w:lvl w:ilvl="7" w:tplc="EED860E4" w:tentative="1">
      <w:start w:val="1"/>
      <w:numFmt w:val="lowerLetter"/>
      <w:lvlText w:val="%8."/>
      <w:lvlJc w:val="left"/>
      <w:pPr>
        <w:ind w:left="5760" w:hanging="360"/>
      </w:pPr>
    </w:lvl>
    <w:lvl w:ilvl="8" w:tplc="61403970"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33827D7A">
      <w:start w:val="1"/>
      <w:numFmt w:val="bullet"/>
      <w:lvlText w:val="o"/>
      <w:lvlJc w:val="left"/>
      <w:pPr>
        <w:ind w:left="644" w:hanging="360"/>
      </w:pPr>
      <w:rPr>
        <w:rFonts w:ascii="Courier New" w:hAnsi="Courier New" w:cs="Courier New" w:hint="default"/>
      </w:rPr>
    </w:lvl>
    <w:lvl w:ilvl="1" w:tplc="478E7BC2" w:tentative="1">
      <w:start w:val="1"/>
      <w:numFmt w:val="bullet"/>
      <w:lvlText w:val="o"/>
      <w:lvlJc w:val="left"/>
      <w:pPr>
        <w:ind w:left="1440" w:hanging="360"/>
      </w:pPr>
      <w:rPr>
        <w:rFonts w:ascii="Courier New" w:hAnsi="Courier New" w:cs="Courier New" w:hint="default"/>
      </w:rPr>
    </w:lvl>
    <w:lvl w:ilvl="2" w:tplc="2E8E4A4C" w:tentative="1">
      <w:start w:val="1"/>
      <w:numFmt w:val="bullet"/>
      <w:lvlText w:val=""/>
      <w:lvlJc w:val="left"/>
      <w:pPr>
        <w:ind w:left="2160" w:hanging="360"/>
      </w:pPr>
      <w:rPr>
        <w:rFonts w:ascii="Wingdings" w:hAnsi="Wingdings" w:hint="default"/>
      </w:rPr>
    </w:lvl>
    <w:lvl w:ilvl="3" w:tplc="AD96D344" w:tentative="1">
      <w:start w:val="1"/>
      <w:numFmt w:val="bullet"/>
      <w:lvlText w:val=""/>
      <w:lvlJc w:val="left"/>
      <w:pPr>
        <w:ind w:left="2880" w:hanging="360"/>
      </w:pPr>
      <w:rPr>
        <w:rFonts w:ascii="Symbol" w:hAnsi="Symbol" w:hint="default"/>
      </w:rPr>
    </w:lvl>
    <w:lvl w:ilvl="4" w:tplc="738EB300" w:tentative="1">
      <w:start w:val="1"/>
      <w:numFmt w:val="bullet"/>
      <w:lvlText w:val="o"/>
      <w:lvlJc w:val="left"/>
      <w:pPr>
        <w:ind w:left="3600" w:hanging="360"/>
      </w:pPr>
      <w:rPr>
        <w:rFonts w:ascii="Courier New" w:hAnsi="Courier New" w:cs="Courier New" w:hint="default"/>
      </w:rPr>
    </w:lvl>
    <w:lvl w:ilvl="5" w:tplc="BB28A7D4" w:tentative="1">
      <w:start w:val="1"/>
      <w:numFmt w:val="bullet"/>
      <w:lvlText w:val=""/>
      <w:lvlJc w:val="left"/>
      <w:pPr>
        <w:ind w:left="4320" w:hanging="360"/>
      </w:pPr>
      <w:rPr>
        <w:rFonts w:ascii="Wingdings" w:hAnsi="Wingdings" w:hint="default"/>
      </w:rPr>
    </w:lvl>
    <w:lvl w:ilvl="6" w:tplc="0C1E377A" w:tentative="1">
      <w:start w:val="1"/>
      <w:numFmt w:val="bullet"/>
      <w:lvlText w:val=""/>
      <w:lvlJc w:val="left"/>
      <w:pPr>
        <w:ind w:left="5040" w:hanging="360"/>
      </w:pPr>
      <w:rPr>
        <w:rFonts w:ascii="Symbol" w:hAnsi="Symbol" w:hint="default"/>
      </w:rPr>
    </w:lvl>
    <w:lvl w:ilvl="7" w:tplc="A1E2C508" w:tentative="1">
      <w:start w:val="1"/>
      <w:numFmt w:val="bullet"/>
      <w:lvlText w:val="o"/>
      <w:lvlJc w:val="left"/>
      <w:pPr>
        <w:ind w:left="5760" w:hanging="360"/>
      </w:pPr>
      <w:rPr>
        <w:rFonts w:ascii="Courier New" w:hAnsi="Courier New" w:cs="Courier New" w:hint="default"/>
      </w:rPr>
    </w:lvl>
    <w:lvl w:ilvl="8" w:tplc="77FC702E"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9BCC6D62">
      <w:start w:val="1"/>
      <w:numFmt w:val="bullet"/>
      <w:lvlText w:val=""/>
      <w:lvlJc w:val="left"/>
      <w:pPr>
        <w:ind w:left="720" w:hanging="360"/>
      </w:pPr>
      <w:rPr>
        <w:rFonts w:ascii="Symbol" w:hAnsi="Symbol" w:hint="default"/>
      </w:rPr>
    </w:lvl>
    <w:lvl w:ilvl="1" w:tplc="A15E013A" w:tentative="1">
      <w:start w:val="1"/>
      <w:numFmt w:val="bullet"/>
      <w:lvlText w:val="o"/>
      <w:lvlJc w:val="left"/>
      <w:pPr>
        <w:ind w:left="1440" w:hanging="360"/>
      </w:pPr>
      <w:rPr>
        <w:rFonts w:ascii="Courier New" w:hAnsi="Courier New" w:cs="Courier New" w:hint="default"/>
      </w:rPr>
    </w:lvl>
    <w:lvl w:ilvl="2" w:tplc="8654B3A0" w:tentative="1">
      <w:start w:val="1"/>
      <w:numFmt w:val="bullet"/>
      <w:lvlText w:val=""/>
      <w:lvlJc w:val="left"/>
      <w:pPr>
        <w:ind w:left="2160" w:hanging="360"/>
      </w:pPr>
      <w:rPr>
        <w:rFonts w:ascii="Wingdings" w:hAnsi="Wingdings" w:hint="default"/>
      </w:rPr>
    </w:lvl>
    <w:lvl w:ilvl="3" w:tplc="8BC47780" w:tentative="1">
      <w:start w:val="1"/>
      <w:numFmt w:val="bullet"/>
      <w:lvlText w:val=""/>
      <w:lvlJc w:val="left"/>
      <w:pPr>
        <w:ind w:left="2880" w:hanging="360"/>
      </w:pPr>
      <w:rPr>
        <w:rFonts w:ascii="Symbol" w:hAnsi="Symbol" w:hint="default"/>
      </w:rPr>
    </w:lvl>
    <w:lvl w:ilvl="4" w:tplc="C6CE5110" w:tentative="1">
      <w:start w:val="1"/>
      <w:numFmt w:val="bullet"/>
      <w:lvlText w:val="o"/>
      <w:lvlJc w:val="left"/>
      <w:pPr>
        <w:ind w:left="3600" w:hanging="360"/>
      </w:pPr>
      <w:rPr>
        <w:rFonts w:ascii="Courier New" w:hAnsi="Courier New" w:cs="Courier New" w:hint="default"/>
      </w:rPr>
    </w:lvl>
    <w:lvl w:ilvl="5" w:tplc="3D88E504" w:tentative="1">
      <w:start w:val="1"/>
      <w:numFmt w:val="bullet"/>
      <w:lvlText w:val=""/>
      <w:lvlJc w:val="left"/>
      <w:pPr>
        <w:ind w:left="4320" w:hanging="360"/>
      </w:pPr>
      <w:rPr>
        <w:rFonts w:ascii="Wingdings" w:hAnsi="Wingdings" w:hint="default"/>
      </w:rPr>
    </w:lvl>
    <w:lvl w:ilvl="6" w:tplc="8D903292" w:tentative="1">
      <w:start w:val="1"/>
      <w:numFmt w:val="bullet"/>
      <w:lvlText w:val=""/>
      <w:lvlJc w:val="left"/>
      <w:pPr>
        <w:ind w:left="5040" w:hanging="360"/>
      </w:pPr>
      <w:rPr>
        <w:rFonts w:ascii="Symbol" w:hAnsi="Symbol" w:hint="default"/>
      </w:rPr>
    </w:lvl>
    <w:lvl w:ilvl="7" w:tplc="62B42964" w:tentative="1">
      <w:start w:val="1"/>
      <w:numFmt w:val="bullet"/>
      <w:lvlText w:val="o"/>
      <w:lvlJc w:val="left"/>
      <w:pPr>
        <w:ind w:left="5760" w:hanging="360"/>
      </w:pPr>
      <w:rPr>
        <w:rFonts w:ascii="Courier New" w:hAnsi="Courier New" w:cs="Courier New" w:hint="default"/>
      </w:rPr>
    </w:lvl>
    <w:lvl w:ilvl="8" w:tplc="4D7C1508"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566273C4">
      <w:start w:val="1"/>
      <w:numFmt w:val="bullet"/>
      <w:lvlText w:val=""/>
      <w:lvlJc w:val="left"/>
      <w:pPr>
        <w:ind w:left="720" w:hanging="360"/>
      </w:pPr>
      <w:rPr>
        <w:rFonts w:ascii="Symbol" w:hAnsi="Symbol" w:hint="default"/>
      </w:rPr>
    </w:lvl>
    <w:lvl w:ilvl="1" w:tplc="A9C8D67E" w:tentative="1">
      <w:start w:val="1"/>
      <w:numFmt w:val="bullet"/>
      <w:lvlText w:val="o"/>
      <w:lvlJc w:val="left"/>
      <w:pPr>
        <w:ind w:left="1440" w:hanging="360"/>
      </w:pPr>
      <w:rPr>
        <w:rFonts w:ascii="Courier New" w:hAnsi="Courier New" w:cs="Courier New" w:hint="default"/>
      </w:rPr>
    </w:lvl>
    <w:lvl w:ilvl="2" w:tplc="25BC28E2" w:tentative="1">
      <w:start w:val="1"/>
      <w:numFmt w:val="bullet"/>
      <w:lvlText w:val=""/>
      <w:lvlJc w:val="left"/>
      <w:pPr>
        <w:ind w:left="2160" w:hanging="360"/>
      </w:pPr>
      <w:rPr>
        <w:rFonts w:ascii="Wingdings" w:hAnsi="Wingdings" w:hint="default"/>
      </w:rPr>
    </w:lvl>
    <w:lvl w:ilvl="3" w:tplc="E45C5204" w:tentative="1">
      <w:start w:val="1"/>
      <w:numFmt w:val="bullet"/>
      <w:lvlText w:val=""/>
      <w:lvlJc w:val="left"/>
      <w:pPr>
        <w:ind w:left="2880" w:hanging="360"/>
      </w:pPr>
      <w:rPr>
        <w:rFonts w:ascii="Symbol" w:hAnsi="Symbol" w:hint="default"/>
      </w:rPr>
    </w:lvl>
    <w:lvl w:ilvl="4" w:tplc="C78CDAF4" w:tentative="1">
      <w:start w:val="1"/>
      <w:numFmt w:val="bullet"/>
      <w:lvlText w:val="o"/>
      <w:lvlJc w:val="left"/>
      <w:pPr>
        <w:ind w:left="3600" w:hanging="360"/>
      </w:pPr>
      <w:rPr>
        <w:rFonts w:ascii="Courier New" w:hAnsi="Courier New" w:cs="Courier New" w:hint="default"/>
      </w:rPr>
    </w:lvl>
    <w:lvl w:ilvl="5" w:tplc="5BD2DAB0" w:tentative="1">
      <w:start w:val="1"/>
      <w:numFmt w:val="bullet"/>
      <w:lvlText w:val=""/>
      <w:lvlJc w:val="left"/>
      <w:pPr>
        <w:ind w:left="4320" w:hanging="360"/>
      </w:pPr>
      <w:rPr>
        <w:rFonts w:ascii="Wingdings" w:hAnsi="Wingdings" w:hint="default"/>
      </w:rPr>
    </w:lvl>
    <w:lvl w:ilvl="6" w:tplc="320432D0" w:tentative="1">
      <w:start w:val="1"/>
      <w:numFmt w:val="bullet"/>
      <w:lvlText w:val=""/>
      <w:lvlJc w:val="left"/>
      <w:pPr>
        <w:ind w:left="5040" w:hanging="360"/>
      </w:pPr>
      <w:rPr>
        <w:rFonts w:ascii="Symbol" w:hAnsi="Symbol" w:hint="default"/>
      </w:rPr>
    </w:lvl>
    <w:lvl w:ilvl="7" w:tplc="CADE1F98" w:tentative="1">
      <w:start w:val="1"/>
      <w:numFmt w:val="bullet"/>
      <w:lvlText w:val="o"/>
      <w:lvlJc w:val="left"/>
      <w:pPr>
        <w:ind w:left="5760" w:hanging="360"/>
      </w:pPr>
      <w:rPr>
        <w:rFonts w:ascii="Courier New" w:hAnsi="Courier New" w:cs="Courier New" w:hint="default"/>
      </w:rPr>
    </w:lvl>
    <w:lvl w:ilvl="8" w:tplc="87D2EA5E"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3778730E">
      <w:start w:val="1"/>
      <w:numFmt w:val="lowerLetter"/>
      <w:pStyle w:val="Alphabetlist"/>
      <w:lvlText w:val="%1."/>
      <w:lvlJc w:val="left"/>
      <w:pPr>
        <w:ind w:left="1004" w:hanging="360"/>
      </w:pPr>
    </w:lvl>
    <w:lvl w:ilvl="1" w:tplc="6B9A92B8" w:tentative="1">
      <w:start w:val="1"/>
      <w:numFmt w:val="lowerLetter"/>
      <w:lvlText w:val="%2."/>
      <w:lvlJc w:val="left"/>
      <w:pPr>
        <w:ind w:left="1724" w:hanging="360"/>
      </w:pPr>
    </w:lvl>
    <w:lvl w:ilvl="2" w:tplc="4A260C8C" w:tentative="1">
      <w:start w:val="1"/>
      <w:numFmt w:val="lowerRoman"/>
      <w:lvlText w:val="%3."/>
      <w:lvlJc w:val="right"/>
      <w:pPr>
        <w:ind w:left="2444" w:hanging="180"/>
      </w:pPr>
    </w:lvl>
    <w:lvl w:ilvl="3" w:tplc="A04E4E5E" w:tentative="1">
      <w:start w:val="1"/>
      <w:numFmt w:val="decimal"/>
      <w:lvlText w:val="%4."/>
      <w:lvlJc w:val="left"/>
      <w:pPr>
        <w:ind w:left="3164" w:hanging="360"/>
      </w:pPr>
    </w:lvl>
    <w:lvl w:ilvl="4" w:tplc="CCD8305C" w:tentative="1">
      <w:start w:val="1"/>
      <w:numFmt w:val="lowerLetter"/>
      <w:lvlText w:val="%5."/>
      <w:lvlJc w:val="left"/>
      <w:pPr>
        <w:ind w:left="3884" w:hanging="360"/>
      </w:pPr>
    </w:lvl>
    <w:lvl w:ilvl="5" w:tplc="94DC253C" w:tentative="1">
      <w:start w:val="1"/>
      <w:numFmt w:val="lowerRoman"/>
      <w:lvlText w:val="%6."/>
      <w:lvlJc w:val="right"/>
      <w:pPr>
        <w:ind w:left="4604" w:hanging="180"/>
      </w:pPr>
    </w:lvl>
    <w:lvl w:ilvl="6" w:tplc="CF687282" w:tentative="1">
      <w:start w:val="1"/>
      <w:numFmt w:val="decimal"/>
      <w:lvlText w:val="%7."/>
      <w:lvlJc w:val="left"/>
      <w:pPr>
        <w:ind w:left="5324" w:hanging="360"/>
      </w:pPr>
    </w:lvl>
    <w:lvl w:ilvl="7" w:tplc="7AEE910A" w:tentative="1">
      <w:start w:val="1"/>
      <w:numFmt w:val="lowerLetter"/>
      <w:lvlText w:val="%8."/>
      <w:lvlJc w:val="left"/>
      <w:pPr>
        <w:ind w:left="6044" w:hanging="360"/>
      </w:pPr>
    </w:lvl>
    <w:lvl w:ilvl="8" w:tplc="915C144A"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FC0281A0">
      <w:start w:val="1"/>
      <w:numFmt w:val="bullet"/>
      <w:pStyle w:val="Bullet1"/>
      <w:lvlText w:val=""/>
      <w:lvlJc w:val="left"/>
      <w:pPr>
        <w:ind w:left="720" w:hanging="360"/>
      </w:pPr>
      <w:rPr>
        <w:rFonts w:ascii="Symbol" w:hAnsi="Symbol" w:hint="default"/>
      </w:rPr>
    </w:lvl>
    <w:lvl w:ilvl="1" w:tplc="71ECD662" w:tentative="1">
      <w:start w:val="1"/>
      <w:numFmt w:val="bullet"/>
      <w:lvlText w:val="o"/>
      <w:lvlJc w:val="left"/>
      <w:pPr>
        <w:ind w:left="1440" w:hanging="360"/>
      </w:pPr>
      <w:rPr>
        <w:rFonts w:ascii="Courier New" w:hAnsi="Courier New" w:cs="Courier New" w:hint="default"/>
      </w:rPr>
    </w:lvl>
    <w:lvl w:ilvl="2" w:tplc="F49A5CFA" w:tentative="1">
      <w:start w:val="1"/>
      <w:numFmt w:val="bullet"/>
      <w:lvlText w:val=""/>
      <w:lvlJc w:val="left"/>
      <w:pPr>
        <w:ind w:left="2160" w:hanging="360"/>
      </w:pPr>
      <w:rPr>
        <w:rFonts w:ascii="Wingdings" w:hAnsi="Wingdings" w:hint="default"/>
      </w:rPr>
    </w:lvl>
    <w:lvl w:ilvl="3" w:tplc="73EA7A2C" w:tentative="1">
      <w:start w:val="1"/>
      <w:numFmt w:val="bullet"/>
      <w:lvlText w:val=""/>
      <w:lvlJc w:val="left"/>
      <w:pPr>
        <w:ind w:left="2880" w:hanging="360"/>
      </w:pPr>
      <w:rPr>
        <w:rFonts w:ascii="Symbol" w:hAnsi="Symbol" w:hint="default"/>
      </w:rPr>
    </w:lvl>
    <w:lvl w:ilvl="4" w:tplc="81169F6C" w:tentative="1">
      <w:start w:val="1"/>
      <w:numFmt w:val="bullet"/>
      <w:lvlText w:val="o"/>
      <w:lvlJc w:val="left"/>
      <w:pPr>
        <w:ind w:left="3600" w:hanging="360"/>
      </w:pPr>
      <w:rPr>
        <w:rFonts w:ascii="Courier New" w:hAnsi="Courier New" w:cs="Courier New" w:hint="default"/>
      </w:rPr>
    </w:lvl>
    <w:lvl w:ilvl="5" w:tplc="5EA42324" w:tentative="1">
      <w:start w:val="1"/>
      <w:numFmt w:val="bullet"/>
      <w:lvlText w:val=""/>
      <w:lvlJc w:val="left"/>
      <w:pPr>
        <w:ind w:left="4320" w:hanging="360"/>
      </w:pPr>
      <w:rPr>
        <w:rFonts w:ascii="Wingdings" w:hAnsi="Wingdings" w:hint="default"/>
      </w:rPr>
    </w:lvl>
    <w:lvl w:ilvl="6" w:tplc="6A188FA0" w:tentative="1">
      <w:start w:val="1"/>
      <w:numFmt w:val="bullet"/>
      <w:lvlText w:val=""/>
      <w:lvlJc w:val="left"/>
      <w:pPr>
        <w:ind w:left="5040" w:hanging="360"/>
      </w:pPr>
      <w:rPr>
        <w:rFonts w:ascii="Symbol" w:hAnsi="Symbol" w:hint="default"/>
      </w:rPr>
    </w:lvl>
    <w:lvl w:ilvl="7" w:tplc="6A70E914" w:tentative="1">
      <w:start w:val="1"/>
      <w:numFmt w:val="bullet"/>
      <w:lvlText w:val="o"/>
      <w:lvlJc w:val="left"/>
      <w:pPr>
        <w:ind w:left="5760" w:hanging="360"/>
      </w:pPr>
      <w:rPr>
        <w:rFonts w:ascii="Courier New" w:hAnsi="Courier New" w:cs="Courier New" w:hint="default"/>
      </w:rPr>
    </w:lvl>
    <w:lvl w:ilvl="8" w:tplc="52C4A98E"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37638977">
    <w:abstractNumId w:val="0"/>
  </w:num>
  <w:num w:numId="2" w16cid:durableId="1362047574">
    <w:abstractNumId w:val="1"/>
  </w:num>
  <w:num w:numId="3" w16cid:durableId="1050226237">
    <w:abstractNumId w:val="2"/>
  </w:num>
  <w:num w:numId="4" w16cid:durableId="1517186058">
    <w:abstractNumId w:val="3"/>
  </w:num>
  <w:num w:numId="5" w16cid:durableId="2014910739">
    <w:abstractNumId w:val="4"/>
  </w:num>
  <w:num w:numId="6" w16cid:durableId="629282895">
    <w:abstractNumId w:val="9"/>
  </w:num>
  <w:num w:numId="7" w16cid:durableId="1549680896">
    <w:abstractNumId w:val="5"/>
  </w:num>
  <w:num w:numId="8" w16cid:durableId="2132236505">
    <w:abstractNumId w:val="6"/>
  </w:num>
  <w:num w:numId="9" w16cid:durableId="2105564204">
    <w:abstractNumId w:val="7"/>
  </w:num>
  <w:num w:numId="10" w16cid:durableId="1599094356">
    <w:abstractNumId w:val="8"/>
  </w:num>
  <w:num w:numId="11" w16cid:durableId="748775290">
    <w:abstractNumId w:val="10"/>
  </w:num>
  <w:num w:numId="12" w16cid:durableId="940380096">
    <w:abstractNumId w:val="15"/>
  </w:num>
  <w:num w:numId="13" w16cid:durableId="309100089">
    <w:abstractNumId w:val="19"/>
  </w:num>
  <w:num w:numId="14" w16cid:durableId="1874029313">
    <w:abstractNumId w:val="20"/>
  </w:num>
  <w:num w:numId="15" w16cid:durableId="610430741">
    <w:abstractNumId w:val="14"/>
  </w:num>
  <w:num w:numId="16" w16cid:durableId="1373572677">
    <w:abstractNumId w:val="14"/>
    <w:lvlOverride w:ilvl="0">
      <w:startOverride w:val="1"/>
    </w:lvlOverride>
  </w:num>
  <w:num w:numId="17" w16cid:durableId="2039231822">
    <w:abstractNumId w:val="18"/>
  </w:num>
  <w:num w:numId="18" w16cid:durableId="42995585">
    <w:abstractNumId w:val="13"/>
  </w:num>
  <w:num w:numId="19" w16cid:durableId="1155758075">
    <w:abstractNumId w:val="12"/>
  </w:num>
  <w:num w:numId="20" w16cid:durableId="236668590">
    <w:abstractNumId w:val="11"/>
  </w:num>
  <w:num w:numId="21" w16cid:durableId="1593322195">
    <w:abstractNumId w:val="16"/>
  </w:num>
  <w:num w:numId="22" w16cid:durableId="1278022163">
    <w:abstractNumId w:val="17"/>
  </w:num>
  <w:num w:numId="23" w16cid:durableId="90398612">
    <w:abstractNumId w:val="18"/>
  </w:num>
  <w:num w:numId="24" w16cid:durableId="1164971918">
    <w:abstractNumId w:val="21"/>
  </w:num>
  <w:num w:numId="25" w16cid:durableId="266932443">
    <w:abstractNumId w:val="21"/>
  </w:num>
  <w:num w:numId="26" w16cid:durableId="2087071861">
    <w:abstractNumId w:val="21"/>
  </w:num>
  <w:num w:numId="27" w16cid:durableId="1507673003">
    <w:abstractNumId w:val="21"/>
  </w:num>
  <w:num w:numId="28" w16cid:durableId="153886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34"/>
    <w:rsid w:val="00152E06"/>
    <w:rsid w:val="001574EB"/>
    <w:rsid w:val="001D7634"/>
    <w:rsid w:val="0050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2428"/>
  <w15:docId w15:val="{9A8A06F0-A581-440F-B3FA-F691FCA4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www.toolamba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Heather Kennedy</cp:lastModifiedBy>
  <cp:revision>2</cp:revision>
  <dcterms:created xsi:type="dcterms:W3CDTF">2026-04-27T02:23:00Z</dcterms:created>
  <dcterms:modified xsi:type="dcterms:W3CDTF">2026-04-27T02:23:00Z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