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rPr>
          <w:rFonts w:eastAsia="Times New Roman"/>
          <w:lang w:val="en-AU"/>
        </w:rPr>
      </w:pPr>
      <w:bookmarkStart w:id="0" w:name="_Hlk95915438"/>
      <w:r>
        <w:rPr>
          <w:rFonts w:eastAsia="Times New Roman"/>
          <w:lang w:val="en-AU"/>
        </w:rPr>
        <w:t xml:space="preserve">Child Safe Standards Risk Register template </w:t>
      </w:r>
    </w:p>
    <w:p/>
    <w:tbl>
      <w:tblPr>
        <w:tblStyle w:val="TableGrid1"/>
        <w:tblW w:w="5000" w:type="pct"/>
        <w:tblLook w:val="04A0" w:firstRow="1" w:lastRow="0" w:firstColumn="1" w:lastColumn="0" w:noHBand="0" w:noVBand="1"/>
      </w:tblPr>
      <w:tblGrid>
        <w:gridCol w:w="2405"/>
        <w:gridCol w:w="8815"/>
        <w:gridCol w:w="3428"/>
        <w:gridCol w:w="6885"/>
      </w:tblGrid>
      <w:tr>
        <w:tc>
          <w:tcPr>
            <w:tcW w:w="2405" w:type="dxa"/>
          </w:tcPr>
          <w:p>
            <w:pPr>
              <w:spacing w:before="60" w:after="60"/>
              <w:rPr>
                <w:rFonts w:eastAsia="Calibri" w:cstheme="minorHAnsi"/>
                <w:b/>
                <w:bCs/>
                <w:sz w:val="24"/>
              </w:rPr>
            </w:pPr>
            <w:r>
              <w:rPr>
                <w:rFonts w:eastAsia="Calibri" w:cstheme="minorHAnsi"/>
                <w:b/>
                <w:bCs/>
                <w:sz w:val="24"/>
              </w:rPr>
              <w:t>School name:</w:t>
            </w:r>
          </w:p>
        </w:tc>
        <w:tc>
          <w:tcPr>
            <w:tcW w:w="8815" w:type="dxa"/>
          </w:tcPr>
          <w:p>
            <w:pPr>
              <w:spacing w:before="60" w:after="60"/>
              <w:rPr>
                <w:rFonts w:eastAsia="Calibri" w:cstheme="minorHAnsi"/>
                <w:b/>
                <w:bCs/>
                <w:sz w:val="24"/>
              </w:rPr>
            </w:pPr>
            <w:r>
              <w:rPr>
                <w:rFonts w:eastAsia="Calibri" w:cstheme="minorHAnsi"/>
                <w:b/>
                <w:bCs/>
                <w:sz w:val="24"/>
              </w:rPr>
              <w:t>Toolamba Primary School</w:t>
            </w:r>
          </w:p>
        </w:tc>
        <w:tc>
          <w:tcPr>
            <w:tcW w:w="3428" w:type="dxa"/>
          </w:tcPr>
          <w:p>
            <w:pPr>
              <w:spacing w:before="60" w:after="60"/>
              <w:rPr>
                <w:rFonts w:eastAsia="Calibri" w:cstheme="minorHAnsi"/>
                <w:b/>
                <w:bCs/>
                <w:sz w:val="24"/>
              </w:rPr>
            </w:pPr>
            <w:r>
              <w:rPr>
                <w:rFonts w:eastAsia="Calibri" w:cstheme="minorHAnsi"/>
                <w:b/>
                <w:bCs/>
                <w:sz w:val="24"/>
              </w:rPr>
              <w:t>Responsible staff member:</w:t>
            </w:r>
          </w:p>
        </w:tc>
        <w:tc>
          <w:tcPr>
            <w:tcW w:w="6885" w:type="dxa"/>
          </w:tcPr>
          <w:p>
            <w:pPr>
              <w:spacing w:before="60" w:after="60"/>
              <w:rPr>
                <w:rFonts w:eastAsia="Calibri" w:cstheme="minorHAnsi"/>
                <w:b/>
                <w:bCs/>
                <w:sz w:val="24"/>
              </w:rPr>
            </w:pPr>
            <w:r>
              <w:rPr>
                <w:rFonts w:eastAsia="Calibri" w:cstheme="minorHAnsi"/>
                <w:b/>
                <w:bCs/>
                <w:sz w:val="24"/>
              </w:rPr>
              <w:t xml:space="preserve">Principal </w:t>
            </w:r>
          </w:p>
        </w:tc>
      </w:tr>
      <w:tr>
        <w:tc>
          <w:tcPr>
            <w:tcW w:w="2405" w:type="dxa"/>
          </w:tcPr>
          <w:p>
            <w:pPr>
              <w:spacing w:before="60" w:after="60"/>
              <w:rPr>
                <w:rFonts w:eastAsia="Calibri" w:cstheme="minorHAnsi"/>
                <w:b/>
                <w:bCs/>
                <w:sz w:val="24"/>
              </w:rPr>
            </w:pPr>
            <w:r>
              <w:rPr>
                <w:rFonts w:eastAsia="Calibri" w:cstheme="minorHAnsi"/>
                <w:b/>
                <w:bCs/>
                <w:sz w:val="24"/>
              </w:rPr>
              <w:t>Date endorsed:</w:t>
            </w:r>
          </w:p>
        </w:tc>
        <w:tc>
          <w:tcPr>
            <w:tcW w:w="8815" w:type="dxa"/>
          </w:tcPr>
          <w:p>
            <w:pPr>
              <w:spacing w:before="60" w:after="60"/>
              <w:rPr>
                <w:rFonts w:eastAsia="Calibri" w:cstheme="minorHAnsi"/>
                <w:b/>
                <w:bCs/>
                <w:sz w:val="24"/>
              </w:rPr>
            </w:pPr>
            <w:r>
              <w:rPr>
                <w:rFonts w:eastAsia="Calibri" w:cstheme="minorHAnsi"/>
                <w:b/>
                <w:bCs/>
                <w:sz w:val="24"/>
              </w:rPr>
              <w:t>June 2022</w:t>
            </w:r>
          </w:p>
        </w:tc>
        <w:tc>
          <w:tcPr>
            <w:tcW w:w="3428" w:type="dxa"/>
          </w:tcPr>
          <w:p>
            <w:pPr>
              <w:spacing w:before="60" w:after="60"/>
              <w:rPr>
                <w:rFonts w:eastAsia="Calibri" w:cstheme="minorHAnsi"/>
                <w:b/>
                <w:bCs/>
                <w:sz w:val="24"/>
              </w:rPr>
            </w:pPr>
            <w:r>
              <w:rPr>
                <w:rFonts w:eastAsia="Calibri" w:cstheme="minorHAnsi"/>
                <w:b/>
                <w:bCs/>
                <w:sz w:val="24"/>
              </w:rPr>
              <w:t>Endorsed by:</w:t>
            </w:r>
          </w:p>
        </w:tc>
        <w:tc>
          <w:tcPr>
            <w:tcW w:w="6885" w:type="dxa"/>
          </w:tcPr>
          <w:p>
            <w:pPr>
              <w:spacing w:before="60" w:after="60"/>
              <w:rPr>
                <w:rFonts w:eastAsia="Calibri" w:cstheme="minorHAnsi"/>
                <w:b/>
                <w:bCs/>
                <w:sz w:val="24"/>
              </w:rPr>
            </w:pPr>
          </w:p>
        </w:tc>
      </w:tr>
      <w:tr>
        <w:tc>
          <w:tcPr>
            <w:tcW w:w="2405" w:type="dxa"/>
          </w:tcPr>
          <w:p>
            <w:pPr>
              <w:spacing w:before="60" w:after="60"/>
              <w:rPr>
                <w:rFonts w:eastAsia="Calibri" w:cstheme="minorHAnsi"/>
                <w:b/>
                <w:bCs/>
                <w:sz w:val="24"/>
              </w:rPr>
            </w:pPr>
            <w:r>
              <w:rPr>
                <w:rFonts w:eastAsia="Calibri" w:cstheme="minorHAnsi"/>
                <w:b/>
                <w:bCs/>
                <w:sz w:val="24"/>
              </w:rPr>
              <w:t>Next review date:</w:t>
            </w:r>
          </w:p>
        </w:tc>
        <w:tc>
          <w:tcPr>
            <w:tcW w:w="8815" w:type="dxa"/>
          </w:tcPr>
          <w:p>
            <w:pPr>
              <w:spacing w:before="60" w:after="60"/>
              <w:rPr>
                <w:rFonts w:eastAsia="Calibri" w:cstheme="minorHAnsi"/>
                <w:b/>
                <w:bCs/>
                <w:sz w:val="24"/>
              </w:rPr>
            </w:pPr>
            <w:r>
              <w:rPr>
                <w:rFonts w:eastAsia="Calibri" w:cstheme="minorHAnsi"/>
                <w:b/>
                <w:bCs/>
                <w:sz w:val="24"/>
              </w:rPr>
              <w:t>June 2023</w:t>
            </w:r>
          </w:p>
        </w:tc>
        <w:tc>
          <w:tcPr>
            <w:tcW w:w="3428" w:type="dxa"/>
          </w:tcPr>
          <w:p>
            <w:pPr>
              <w:spacing w:before="60" w:after="60"/>
              <w:rPr>
                <w:rFonts w:eastAsia="Calibri" w:cstheme="minorHAnsi"/>
                <w:b/>
                <w:bCs/>
                <w:sz w:val="24"/>
              </w:rPr>
            </w:pPr>
            <w:r>
              <w:rPr>
                <w:rFonts w:eastAsia="Calibri" w:cstheme="minorHAnsi"/>
                <w:b/>
                <w:bCs/>
                <w:sz w:val="24"/>
              </w:rPr>
              <w:t>File location:</w:t>
            </w:r>
          </w:p>
        </w:tc>
        <w:tc>
          <w:tcPr>
            <w:tcW w:w="6885" w:type="dxa"/>
          </w:tcPr>
          <w:p>
            <w:pPr>
              <w:spacing w:before="60" w:after="60"/>
              <w:rPr>
                <w:rFonts w:eastAsia="Calibri" w:cstheme="minorHAnsi"/>
                <w:b/>
                <w:bCs/>
                <w:sz w:val="24"/>
              </w:rPr>
            </w:pPr>
          </w:p>
        </w:tc>
      </w:tr>
    </w:tbl>
    <w:p>
      <w:pPr>
        <w:spacing w:after="0"/>
        <w:rPr>
          <w:b/>
          <w:bCs/>
        </w:rPr>
      </w:pPr>
    </w:p>
    <w:tbl>
      <w:tblPr>
        <w:tblStyle w:val="ListTable4-Accent2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Pr>
      <w:tblGrid>
        <w:gridCol w:w="2406"/>
        <w:gridCol w:w="3260"/>
        <w:gridCol w:w="4110"/>
        <w:gridCol w:w="4820"/>
        <w:gridCol w:w="1701"/>
        <w:gridCol w:w="3969"/>
        <w:gridCol w:w="1276"/>
      </w:tblGrid>
      <w:tr>
        <w:trPr>
          <w:cnfStyle w:val="100000000000" w:firstRow="1" w:lastRow="0" w:firstColumn="0" w:lastColumn="0" w:oddVBand="0" w:evenVBand="0" w:oddHBand="0" w:evenHBand="0" w:firstRowFirstColumn="0" w:firstRowLastColumn="0" w:lastRowFirstColumn="0" w:lastRowLastColumn="0"/>
          <w:trHeight w:val="290"/>
          <w:tblHeader/>
        </w:trPr>
        <w:tc>
          <w:tcPr>
            <w:tcW w:w="2406" w:type="dxa"/>
            <w:tcBorders>
              <w:top w:val="single" w:sz="4" w:space="0" w:color="auto"/>
              <w:left w:val="single" w:sz="4" w:space="0" w:color="auto"/>
              <w:bottom w:val="single" w:sz="4" w:space="0" w:color="auto"/>
              <w:right w:val="single" w:sz="4" w:space="0" w:color="auto"/>
            </w:tcBorders>
            <w:noWrap/>
            <w:tcMar>
              <w:right w:w="28" w:type="dxa"/>
            </w:tcMar>
            <w:hideMark/>
          </w:tcPr>
          <w:p>
            <w:pPr>
              <w:spacing w:after="0"/>
              <w:jc w:val="center"/>
              <w:rPr>
                <w:rFonts w:ascii="Arial" w:eastAsia="Times New Roman" w:hAnsi="Arial" w:cs="Arial"/>
                <w:color w:val="FFFFFF" w:themeColor="background1"/>
                <w:sz w:val="20"/>
                <w:szCs w:val="20"/>
                <w:lang w:eastAsia="en-AU"/>
              </w:rPr>
            </w:pPr>
            <w:r>
              <w:rPr>
                <w:rFonts w:ascii="Arial" w:eastAsia="Times New Roman" w:hAnsi="Arial" w:cs="Arial"/>
                <w:color w:val="FFFFFF" w:themeColor="background1"/>
                <w:sz w:val="20"/>
                <w:szCs w:val="20"/>
                <w:lang w:eastAsia="en-AU"/>
              </w:rPr>
              <w:t>RISK TITLE AND DESCRIPTION</w:t>
            </w:r>
          </w:p>
        </w:tc>
        <w:tc>
          <w:tcPr>
            <w:tcW w:w="7370" w:type="dxa"/>
            <w:gridSpan w:val="2"/>
            <w:tcBorders>
              <w:top w:val="single" w:sz="4" w:space="0" w:color="auto"/>
              <w:left w:val="single" w:sz="4" w:space="0" w:color="auto"/>
              <w:bottom w:val="single" w:sz="4" w:space="0" w:color="auto"/>
              <w:right w:val="single" w:sz="4" w:space="0" w:color="auto"/>
            </w:tcBorders>
            <w:tcMar>
              <w:right w:w="28" w:type="dxa"/>
            </w:tcMar>
          </w:tcPr>
          <w:p>
            <w:pPr>
              <w:spacing w:after="0"/>
              <w:jc w:val="center"/>
              <w:rPr>
                <w:rFonts w:ascii="Arial" w:eastAsia="Times New Roman" w:hAnsi="Arial" w:cs="Arial"/>
                <w:color w:val="FFFFFF" w:themeColor="background1"/>
                <w:sz w:val="20"/>
                <w:szCs w:val="20"/>
                <w:lang w:eastAsia="en-AU"/>
              </w:rPr>
            </w:pPr>
            <w:r>
              <w:rPr>
                <w:rFonts w:ascii="Arial" w:eastAsia="Times New Roman" w:hAnsi="Arial" w:cs="Arial"/>
                <w:color w:val="FFFFFF" w:themeColor="background1"/>
                <w:sz w:val="20"/>
                <w:szCs w:val="20"/>
                <w:lang w:eastAsia="en-AU"/>
              </w:rPr>
              <w:t>RISK ASSESSMENT</w:t>
            </w:r>
          </w:p>
        </w:tc>
        <w:tc>
          <w:tcPr>
            <w:tcW w:w="4820" w:type="dxa"/>
            <w:tcBorders>
              <w:top w:val="single" w:sz="4" w:space="0" w:color="auto"/>
              <w:left w:val="single" w:sz="4" w:space="0" w:color="auto"/>
              <w:bottom w:val="single" w:sz="4" w:space="0" w:color="auto"/>
              <w:right w:val="single" w:sz="4" w:space="0" w:color="auto"/>
            </w:tcBorders>
          </w:tcPr>
          <w:p>
            <w:pPr>
              <w:spacing w:after="0"/>
              <w:jc w:val="center"/>
              <w:rPr>
                <w:rFonts w:ascii="Arial" w:eastAsia="Times New Roman" w:hAnsi="Arial" w:cs="Arial"/>
                <w:color w:val="FFFFFF" w:themeColor="background1"/>
                <w:sz w:val="20"/>
                <w:szCs w:val="20"/>
                <w:lang w:eastAsia="en-AU"/>
              </w:rPr>
            </w:pPr>
            <w:r>
              <w:rPr>
                <w:rFonts w:ascii="Arial" w:eastAsia="Times New Roman" w:hAnsi="Arial" w:cs="Arial"/>
                <w:color w:val="FFFFFF" w:themeColor="background1"/>
                <w:sz w:val="20"/>
                <w:szCs w:val="20"/>
                <w:lang w:eastAsia="en-AU"/>
              </w:rPr>
              <w:t>EXISTING CONTROLS</w:t>
            </w:r>
          </w:p>
        </w:tc>
        <w:tc>
          <w:tcPr>
            <w:tcW w:w="1701" w:type="dxa"/>
            <w:tcBorders>
              <w:top w:val="single" w:sz="4" w:space="0" w:color="auto"/>
              <w:left w:val="single" w:sz="4" w:space="0" w:color="auto"/>
              <w:bottom w:val="single" w:sz="4" w:space="0" w:color="auto"/>
              <w:right w:val="single" w:sz="4" w:space="0" w:color="auto"/>
            </w:tcBorders>
          </w:tcPr>
          <w:p>
            <w:pPr>
              <w:spacing w:after="0"/>
              <w:jc w:val="center"/>
              <w:rPr>
                <w:rFonts w:ascii="Arial" w:eastAsia="Times New Roman" w:hAnsi="Arial" w:cs="Arial"/>
                <w:color w:val="FFFFFF" w:themeColor="background1"/>
                <w:sz w:val="20"/>
                <w:szCs w:val="20"/>
                <w:lang w:eastAsia="en-AU"/>
              </w:rPr>
            </w:pPr>
            <w:r>
              <w:rPr>
                <w:rFonts w:ascii="Arial" w:eastAsia="Times New Roman" w:hAnsi="Arial" w:cs="Arial"/>
                <w:color w:val="FFFFFF" w:themeColor="background1"/>
                <w:sz w:val="20"/>
                <w:szCs w:val="20"/>
                <w:lang w:eastAsia="en-AU"/>
              </w:rPr>
              <w:t>CONTROLS ASSESSMENT</w:t>
            </w:r>
          </w:p>
        </w:tc>
        <w:tc>
          <w:tcPr>
            <w:tcW w:w="3969" w:type="dxa"/>
            <w:tcBorders>
              <w:top w:val="single" w:sz="4" w:space="0" w:color="auto"/>
              <w:left w:val="single" w:sz="4" w:space="0" w:color="auto"/>
              <w:bottom w:val="single" w:sz="4" w:space="0" w:color="auto"/>
              <w:right w:val="single" w:sz="4" w:space="0" w:color="auto"/>
            </w:tcBorders>
            <w:noWrap/>
            <w:tcMar>
              <w:right w:w="28" w:type="dxa"/>
            </w:tcMar>
            <w:hideMark/>
          </w:tcPr>
          <w:p>
            <w:pPr>
              <w:spacing w:after="0"/>
              <w:jc w:val="center"/>
              <w:rPr>
                <w:rFonts w:ascii="Arial" w:eastAsia="Times New Roman" w:hAnsi="Arial" w:cs="Arial"/>
                <w:b w:val="0"/>
                <w:bCs w:val="0"/>
                <w:color w:val="FFFFFF" w:themeColor="background1"/>
                <w:sz w:val="20"/>
                <w:szCs w:val="20"/>
                <w:lang w:eastAsia="en-AU"/>
              </w:rPr>
            </w:pPr>
            <w:r>
              <w:rPr>
                <w:rFonts w:ascii="Arial" w:eastAsia="Times New Roman" w:hAnsi="Arial" w:cs="Arial"/>
                <w:color w:val="FFFFFF" w:themeColor="background1"/>
                <w:sz w:val="20"/>
                <w:szCs w:val="20"/>
                <w:lang w:eastAsia="en-AU"/>
              </w:rPr>
              <w:t>NEW TREATMENTS AND WHO IS</w:t>
            </w:r>
          </w:p>
          <w:p>
            <w:pPr>
              <w:spacing w:after="0"/>
              <w:jc w:val="center"/>
              <w:rPr>
                <w:rFonts w:ascii="Arial" w:eastAsia="Times New Roman" w:hAnsi="Arial" w:cs="Arial"/>
                <w:color w:val="FFFFFF" w:themeColor="background1"/>
                <w:sz w:val="20"/>
                <w:szCs w:val="20"/>
                <w:lang w:eastAsia="en-AU"/>
              </w:rPr>
            </w:pPr>
            <w:r>
              <w:rPr>
                <w:rFonts w:ascii="Arial" w:eastAsia="Times New Roman" w:hAnsi="Arial" w:cs="Arial"/>
                <w:color w:val="FFFFFF" w:themeColor="background1"/>
                <w:sz w:val="20"/>
                <w:szCs w:val="20"/>
                <w:lang w:eastAsia="en-AU"/>
              </w:rPr>
              <w:t>RESPONSIBLE?</w:t>
            </w:r>
          </w:p>
        </w:tc>
        <w:tc>
          <w:tcPr>
            <w:tcW w:w="1276" w:type="dxa"/>
            <w:tcBorders>
              <w:top w:val="single" w:sz="4" w:space="0" w:color="auto"/>
              <w:left w:val="single" w:sz="4" w:space="0" w:color="auto"/>
              <w:bottom w:val="single" w:sz="4" w:space="0" w:color="auto"/>
              <w:right w:val="single" w:sz="4" w:space="0" w:color="auto"/>
            </w:tcBorders>
            <w:noWrap/>
            <w:tcMar>
              <w:right w:w="28" w:type="dxa"/>
            </w:tcMar>
            <w:hideMark/>
          </w:tcPr>
          <w:p>
            <w:pPr>
              <w:spacing w:after="0"/>
              <w:jc w:val="center"/>
              <w:rPr>
                <w:rFonts w:ascii="Arial" w:eastAsia="Times New Roman" w:hAnsi="Arial" w:cs="Arial"/>
                <w:color w:val="FFFFFF" w:themeColor="background1"/>
                <w:sz w:val="20"/>
                <w:szCs w:val="20"/>
                <w:lang w:eastAsia="en-AU"/>
              </w:rPr>
            </w:pPr>
            <w:r>
              <w:rPr>
                <w:rFonts w:ascii="Arial" w:eastAsia="Times New Roman" w:hAnsi="Arial" w:cs="Arial"/>
                <w:color w:val="FFFFFF" w:themeColor="background1"/>
                <w:sz w:val="20"/>
                <w:szCs w:val="20"/>
                <w:lang w:eastAsia="en-AU"/>
              </w:rPr>
              <w:t>BY WHEN?</w:t>
            </w:r>
          </w:p>
        </w:tc>
      </w:tr>
      <w:tr>
        <w:trPr>
          <w:cnfStyle w:val="100000000000" w:firstRow="1" w:lastRow="0" w:firstColumn="0" w:lastColumn="0" w:oddVBand="0" w:evenVBand="0" w:oddHBand="0" w:evenHBand="0" w:firstRowFirstColumn="0" w:firstRowLastColumn="0" w:lastRowFirstColumn="0" w:lastRowLastColumn="0"/>
          <w:trHeight w:val="290"/>
          <w:tblHeader/>
        </w:trPr>
        <w:tc>
          <w:tcPr>
            <w:tcW w:w="2406" w:type="dxa"/>
            <w:tcBorders>
              <w:top w:val="single" w:sz="4" w:space="0" w:color="auto"/>
              <w:left w:val="single" w:sz="4" w:space="0" w:color="auto"/>
              <w:bottom w:val="single" w:sz="4" w:space="0" w:color="auto"/>
              <w:right w:val="single" w:sz="4" w:space="0" w:color="auto"/>
            </w:tcBorders>
            <w:noWrap/>
            <w:tcMar>
              <w:right w:w="28" w:type="dxa"/>
            </w:tcMar>
          </w:tcPr>
          <w:p>
            <w:pPr>
              <w:spacing w:after="0"/>
              <w:rPr>
                <w:rFonts w:ascii="Arial" w:eastAsia="Times New Roman" w:hAnsi="Arial" w:cs="Arial"/>
                <w:b w:val="0"/>
                <w:bCs w:val="0"/>
                <w:i/>
                <w:iCs/>
                <w:sz w:val="16"/>
                <w:szCs w:val="16"/>
                <w:lang w:eastAsia="en-AU"/>
              </w:rPr>
            </w:pPr>
            <w:r>
              <w:rPr>
                <w:rFonts w:ascii="Arial" w:eastAsia="Times New Roman" w:hAnsi="Arial" w:cs="Arial"/>
                <w:b w:val="0"/>
                <w:bCs w:val="0"/>
                <w:i/>
                <w:iCs/>
                <w:sz w:val="16"/>
                <w:szCs w:val="16"/>
                <w:lang w:eastAsia="en-AU"/>
              </w:rPr>
              <w:t>Provide a risk title and short description.</w:t>
            </w:r>
          </w:p>
        </w:tc>
        <w:tc>
          <w:tcPr>
            <w:tcW w:w="3260" w:type="dxa"/>
            <w:tcBorders>
              <w:top w:val="single" w:sz="4" w:space="0" w:color="auto"/>
              <w:left w:val="single" w:sz="4" w:space="0" w:color="auto"/>
              <w:bottom w:val="single" w:sz="4" w:space="0" w:color="auto"/>
              <w:right w:val="single" w:sz="4" w:space="0" w:color="auto"/>
            </w:tcBorders>
            <w:tcMar>
              <w:right w:w="28" w:type="dxa"/>
            </w:tcMar>
          </w:tcPr>
          <w:p>
            <w:pPr>
              <w:spacing w:after="0"/>
              <w:rPr>
                <w:rFonts w:ascii="Arial" w:eastAsia="Times New Roman" w:hAnsi="Arial" w:cs="Arial"/>
                <w:b w:val="0"/>
                <w:bCs w:val="0"/>
                <w:i/>
                <w:iCs/>
                <w:sz w:val="16"/>
                <w:szCs w:val="16"/>
                <w:lang w:eastAsia="en-AU"/>
              </w:rPr>
            </w:pPr>
            <w:r>
              <w:rPr>
                <w:rFonts w:ascii="Arial" w:eastAsia="Times New Roman" w:hAnsi="Arial" w:cs="Arial"/>
                <w:b w:val="0"/>
                <w:bCs w:val="0"/>
                <w:i/>
                <w:iCs/>
                <w:sz w:val="16"/>
                <w:szCs w:val="16"/>
                <w:lang w:eastAsia="en-AU"/>
              </w:rPr>
              <w:t>Describe the causes of the child safety risk.</w:t>
            </w:r>
          </w:p>
        </w:tc>
        <w:tc>
          <w:tcPr>
            <w:tcW w:w="4110" w:type="dxa"/>
            <w:tcBorders>
              <w:top w:val="single" w:sz="4" w:space="0" w:color="auto"/>
              <w:left w:val="single" w:sz="4" w:space="0" w:color="auto"/>
              <w:bottom w:val="single" w:sz="4" w:space="0" w:color="auto"/>
              <w:right w:val="single" w:sz="4" w:space="0" w:color="auto"/>
            </w:tcBorders>
          </w:tcPr>
          <w:p>
            <w:pPr>
              <w:spacing w:after="0"/>
              <w:rPr>
                <w:rFonts w:ascii="Arial" w:eastAsia="Times New Roman" w:hAnsi="Arial" w:cs="Arial"/>
                <w:b w:val="0"/>
                <w:bCs w:val="0"/>
                <w:i/>
                <w:iCs/>
                <w:sz w:val="16"/>
                <w:szCs w:val="16"/>
                <w:lang w:eastAsia="en-AU"/>
              </w:rPr>
            </w:pPr>
            <w:r>
              <w:rPr>
                <w:rFonts w:ascii="Arial" w:eastAsia="Times New Roman" w:hAnsi="Arial" w:cs="Arial"/>
                <w:b w:val="0"/>
                <w:bCs w:val="0"/>
                <w:i/>
                <w:iCs/>
                <w:sz w:val="16"/>
                <w:szCs w:val="16"/>
                <w:lang w:eastAsia="en-AU"/>
              </w:rPr>
              <w:t xml:space="preserve">Describe the </w:t>
            </w:r>
            <w:r>
              <w:rPr>
                <w:rFonts w:ascii="Arial" w:eastAsia="Times New Roman" w:hAnsi="Arial" w:cs="Arial"/>
                <w:i/>
                <w:iCs/>
                <w:sz w:val="16"/>
                <w:szCs w:val="16"/>
                <w:lang w:eastAsia="en-AU"/>
              </w:rPr>
              <w:t>consequences</w:t>
            </w:r>
            <w:r>
              <w:rPr>
                <w:rFonts w:ascii="Arial" w:eastAsia="Times New Roman" w:hAnsi="Arial" w:cs="Arial"/>
                <w:b w:val="0"/>
                <w:bCs w:val="0"/>
                <w:i/>
                <w:iCs/>
                <w:sz w:val="16"/>
                <w:szCs w:val="16"/>
                <w:lang w:eastAsia="en-AU"/>
              </w:rPr>
              <w:t xml:space="preserve"> for children if the child safety risk happens</w:t>
            </w:r>
          </w:p>
        </w:tc>
        <w:tc>
          <w:tcPr>
            <w:tcW w:w="4820" w:type="dxa"/>
            <w:tcBorders>
              <w:top w:val="single" w:sz="4" w:space="0" w:color="auto"/>
              <w:left w:val="single" w:sz="4" w:space="0" w:color="auto"/>
              <w:bottom w:val="single" w:sz="4" w:space="0" w:color="auto"/>
              <w:right w:val="single" w:sz="4" w:space="0" w:color="auto"/>
            </w:tcBorders>
          </w:tcPr>
          <w:p>
            <w:pPr>
              <w:spacing w:after="0"/>
              <w:rPr>
                <w:rFonts w:ascii="Arial" w:eastAsia="Times New Roman" w:hAnsi="Arial" w:cs="Arial"/>
                <w:b w:val="0"/>
                <w:bCs w:val="0"/>
                <w:i/>
                <w:iCs/>
                <w:sz w:val="16"/>
                <w:szCs w:val="16"/>
                <w:lang w:eastAsia="en-AU"/>
              </w:rPr>
            </w:pPr>
            <w:r>
              <w:rPr>
                <w:rFonts w:ascii="Arial" w:eastAsia="Times New Roman" w:hAnsi="Arial" w:cs="Arial"/>
                <w:b w:val="0"/>
                <w:bCs w:val="0"/>
                <w:i/>
                <w:iCs/>
                <w:sz w:val="16"/>
                <w:szCs w:val="16"/>
                <w:lang w:eastAsia="en-AU"/>
              </w:rPr>
              <w:t xml:space="preserve">Describe the existing </w:t>
            </w:r>
            <w:r>
              <w:rPr>
                <w:rFonts w:ascii="Arial" w:eastAsia="Times New Roman" w:hAnsi="Arial" w:cs="Arial"/>
                <w:i/>
                <w:iCs/>
                <w:sz w:val="16"/>
                <w:szCs w:val="16"/>
                <w:lang w:eastAsia="en-AU"/>
              </w:rPr>
              <w:t>child safety and wellbeing controls</w:t>
            </w:r>
            <w:r>
              <w:rPr>
                <w:rFonts w:ascii="Arial" w:eastAsia="Times New Roman" w:hAnsi="Arial" w:cs="Arial"/>
                <w:b w:val="0"/>
                <w:bCs w:val="0"/>
                <w:i/>
                <w:iCs/>
                <w:sz w:val="16"/>
                <w:szCs w:val="16"/>
                <w:lang w:eastAsia="en-AU"/>
              </w:rPr>
              <w:t xml:space="preserve"> you have in place to mitigate the child safety risk</w:t>
            </w:r>
          </w:p>
          <w:p>
            <w:pPr>
              <w:spacing w:after="0"/>
              <w:rPr>
                <w:rFonts w:ascii="Arial" w:eastAsia="Times New Roman" w:hAnsi="Arial" w:cs="Arial"/>
                <w:b w:val="0"/>
                <w:bCs w:val="0"/>
                <w:i/>
                <w:iCs/>
                <w:sz w:val="16"/>
                <w:szCs w:val="16"/>
                <w:lang w:eastAsia="en-AU"/>
              </w:rPr>
            </w:pPr>
          </w:p>
          <w:p>
            <w:pPr>
              <w:spacing w:after="0"/>
              <w:rPr>
                <w:rFonts w:ascii="Arial" w:eastAsia="Times New Roman" w:hAnsi="Arial" w:cs="Arial"/>
                <w:b w:val="0"/>
                <w:bCs w:val="0"/>
                <w:i/>
                <w:iCs/>
                <w:sz w:val="16"/>
                <w:szCs w:val="16"/>
                <w:lang w:eastAsia="en-AU"/>
              </w:rPr>
            </w:pPr>
            <w:r>
              <w:rPr>
                <w:rFonts w:ascii="Arial" w:eastAsia="Times New Roman" w:hAnsi="Arial" w:cs="Arial"/>
                <w:i/>
                <w:iCs/>
                <w:sz w:val="16"/>
                <w:szCs w:val="16"/>
                <w:lang w:eastAsia="en-AU"/>
              </w:rPr>
              <w:t>Sample content is provided below</w:t>
            </w:r>
          </w:p>
        </w:tc>
        <w:tc>
          <w:tcPr>
            <w:tcW w:w="1701" w:type="dxa"/>
            <w:tcBorders>
              <w:top w:val="single" w:sz="4" w:space="0" w:color="auto"/>
              <w:left w:val="single" w:sz="4" w:space="0" w:color="auto"/>
              <w:bottom w:val="single" w:sz="4" w:space="0" w:color="auto"/>
              <w:right w:val="single" w:sz="4" w:space="0" w:color="auto"/>
            </w:tcBorders>
          </w:tcPr>
          <w:p>
            <w:pPr>
              <w:spacing w:after="0"/>
              <w:rPr>
                <w:rFonts w:ascii="Arial" w:eastAsia="Times New Roman" w:hAnsi="Arial" w:cs="Arial"/>
                <w:b w:val="0"/>
                <w:bCs w:val="0"/>
                <w:i/>
                <w:iCs/>
                <w:sz w:val="16"/>
                <w:szCs w:val="16"/>
                <w:lang w:eastAsia="en-AU"/>
              </w:rPr>
            </w:pPr>
            <w:r>
              <w:rPr>
                <w:rFonts w:ascii="Arial" w:eastAsia="Times New Roman" w:hAnsi="Arial" w:cs="Arial"/>
                <w:b w:val="0"/>
                <w:bCs w:val="0"/>
                <w:i/>
                <w:iCs/>
                <w:sz w:val="16"/>
                <w:szCs w:val="16"/>
                <w:lang w:eastAsia="en-AU"/>
              </w:rPr>
              <w:t>Taken together, are the controls adequate to reduce the risk and harms to a tolerable level?</w:t>
            </w:r>
          </w:p>
        </w:tc>
        <w:tc>
          <w:tcPr>
            <w:tcW w:w="3969" w:type="dxa"/>
            <w:tcBorders>
              <w:top w:val="single" w:sz="4" w:space="0" w:color="auto"/>
              <w:left w:val="single" w:sz="4" w:space="0" w:color="auto"/>
              <w:bottom w:val="single" w:sz="4" w:space="0" w:color="auto"/>
              <w:right w:val="single" w:sz="4" w:space="0" w:color="auto"/>
            </w:tcBorders>
            <w:noWrap/>
            <w:tcMar>
              <w:right w:w="28" w:type="dxa"/>
            </w:tcMar>
          </w:tcPr>
          <w:p>
            <w:pPr>
              <w:spacing w:after="0"/>
              <w:rPr>
                <w:rFonts w:ascii="Arial" w:eastAsia="Times New Roman" w:hAnsi="Arial" w:cs="Arial"/>
                <w:b w:val="0"/>
                <w:bCs w:val="0"/>
                <w:i/>
                <w:iCs/>
                <w:sz w:val="16"/>
                <w:szCs w:val="16"/>
                <w:lang w:eastAsia="en-AU"/>
              </w:rPr>
            </w:pPr>
            <w:r>
              <w:rPr>
                <w:rFonts w:ascii="Arial" w:eastAsia="Times New Roman" w:hAnsi="Arial" w:cs="Arial"/>
                <w:b w:val="0"/>
                <w:bCs w:val="0"/>
                <w:i/>
                <w:iCs/>
                <w:sz w:val="16"/>
                <w:szCs w:val="16"/>
                <w:lang w:eastAsia="en-AU"/>
              </w:rPr>
              <w:t>If controls need to be strengthened, describe any new controls you will implement to mitigate the child safety risk and who is responsible for the new treatments?</w:t>
            </w:r>
          </w:p>
        </w:tc>
        <w:tc>
          <w:tcPr>
            <w:tcW w:w="1276" w:type="dxa"/>
            <w:tcBorders>
              <w:top w:val="single" w:sz="4" w:space="0" w:color="auto"/>
              <w:left w:val="single" w:sz="4" w:space="0" w:color="auto"/>
              <w:bottom w:val="single" w:sz="4" w:space="0" w:color="auto"/>
              <w:right w:val="single" w:sz="4" w:space="0" w:color="auto"/>
            </w:tcBorders>
            <w:noWrap/>
            <w:tcMar>
              <w:right w:w="28" w:type="dxa"/>
            </w:tcMar>
          </w:tcPr>
          <w:p>
            <w:pPr>
              <w:spacing w:after="0"/>
              <w:rPr>
                <w:rFonts w:ascii="Arial" w:eastAsia="Times New Roman" w:hAnsi="Arial" w:cs="Arial"/>
                <w:b w:val="0"/>
                <w:bCs w:val="0"/>
                <w:i/>
                <w:iCs/>
                <w:sz w:val="16"/>
                <w:szCs w:val="16"/>
                <w:lang w:eastAsia="en-AU"/>
              </w:rPr>
            </w:pPr>
            <w:r>
              <w:rPr>
                <w:rFonts w:ascii="Arial" w:eastAsia="Times New Roman" w:hAnsi="Arial" w:cs="Arial"/>
                <w:b w:val="0"/>
                <w:bCs w:val="0"/>
                <w:i/>
                <w:iCs/>
                <w:sz w:val="16"/>
                <w:szCs w:val="16"/>
                <w:lang w:eastAsia="en-AU"/>
              </w:rPr>
              <w:t>When will this be done?</w:t>
            </w: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t>Child Safe Standard 1 – Aboriginal cultural safety</w:t>
            </w:r>
          </w:p>
        </w:tc>
      </w:tr>
      <w:tr>
        <w:trPr>
          <w:trHeight w:val="1885"/>
        </w:trPr>
        <w:tc>
          <w:tcPr>
            <w:tcW w:w="2406" w:type="dxa"/>
            <w:tcBorders>
              <w:top w:val="single" w:sz="4" w:space="0" w:color="auto"/>
              <w:bottom w:val="single" w:sz="4" w:space="0" w:color="auto"/>
            </w:tcBorders>
            <w:noWrap/>
            <w:tcMar>
              <w:right w:w="28" w:type="dxa"/>
            </w:tcMar>
          </w:tcPr>
          <w:p>
            <w:pPr>
              <w:spacing w:after="60"/>
              <w:rPr>
                <w:rFonts w:ascii="Arial" w:eastAsia="Calibri" w:hAnsi="Arial" w:cs="Arial"/>
                <w:b/>
                <w:bCs/>
                <w:sz w:val="20"/>
                <w:szCs w:val="20"/>
              </w:rPr>
            </w:pPr>
            <w:r>
              <w:rPr>
                <w:rFonts w:ascii="Arial" w:eastAsia="Calibri" w:hAnsi="Arial" w:cs="Arial"/>
                <w:b/>
                <w:bCs/>
                <w:sz w:val="20"/>
                <w:szCs w:val="20"/>
              </w:rPr>
              <w:t xml:space="preserve">Risk Title: </w:t>
            </w:r>
          </w:p>
          <w:p>
            <w:pPr>
              <w:spacing w:after="0"/>
              <w:rPr>
                <w:rFonts w:ascii="Arial" w:eastAsia="Calibri" w:hAnsi="Arial" w:cs="Arial"/>
                <w:color w:val="000000" w:themeColor="text1"/>
                <w:sz w:val="20"/>
                <w:szCs w:val="20"/>
              </w:rPr>
            </w:pPr>
            <w:r>
              <w:rPr>
                <w:rFonts w:ascii="Arial" w:eastAsia="Calibri" w:hAnsi="Arial" w:cs="Arial"/>
                <w:color w:val="000000" w:themeColor="text1"/>
                <w:sz w:val="20"/>
                <w:szCs w:val="20"/>
              </w:rPr>
              <w:t>Culturally safe environments</w:t>
            </w:r>
          </w:p>
          <w:p>
            <w:pPr>
              <w:spacing w:after="0"/>
              <w:rPr>
                <w:rFonts w:ascii="Arial" w:eastAsia="Times New Roman" w:hAnsi="Arial" w:cs="Arial"/>
                <w:color w:val="000000" w:themeColor="text1"/>
                <w:sz w:val="20"/>
                <w:szCs w:val="20"/>
                <w:lang w:eastAsia="en-AU"/>
              </w:rPr>
            </w:pPr>
          </w:p>
          <w:p>
            <w:pPr>
              <w:spacing w:after="60"/>
              <w:rPr>
                <w:rFonts w:ascii="Arial" w:eastAsia="Calibri" w:hAnsi="Arial" w:cs="Arial"/>
                <w:b/>
                <w:bCs/>
                <w:sz w:val="20"/>
                <w:szCs w:val="20"/>
              </w:rPr>
            </w:pPr>
            <w:r>
              <w:rPr>
                <w:rFonts w:ascii="Arial" w:eastAsia="Calibri" w:hAnsi="Arial" w:cs="Arial"/>
                <w:b/>
                <w:bCs/>
                <w:sz w:val="20"/>
                <w:szCs w:val="20"/>
              </w:rPr>
              <w:t xml:space="preserve">Description: </w:t>
            </w:r>
          </w:p>
          <w:p>
            <w:pPr>
              <w:spacing w:after="0"/>
              <w:rPr>
                <w:rFonts w:ascii="Arial" w:eastAsia="Calibri" w:hAnsi="Arial" w:cs="Arial"/>
                <w:color w:val="000000" w:themeColor="text1"/>
                <w:sz w:val="20"/>
                <w:szCs w:val="20"/>
              </w:rPr>
            </w:pPr>
            <w:r>
              <w:rPr>
                <w:rFonts w:ascii="Arial" w:eastAsia="Calibri" w:hAnsi="Arial" w:cs="Arial"/>
                <w:color w:val="000000" w:themeColor="text1"/>
                <w:sz w:val="20"/>
                <w:szCs w:val="20"/>
              </w:rPr>
              <w:t>There is a risk that the school fails to establish a culturally safe environment in which the diverse and unique identities and experiences of Aboriginal children and students are respected and valued</w:t>
            </w:r>
          </w:p>
          <w:p>
            <w:pPr>
              <w:spacing w:after="0"/>
              <w:rPr>
                <w:rFonts w:ascii="Arial" w:eastAsia="Calibri" w:hAnsi="Arial" w:cs="Arial"/>
                <w:color w:val="000000" w:themeColor="text1"/>
                <w:sz w:val="20"/>
                <w:szCs w:val="20"/>
                <w:lang w:eastAsia="en-AU"/>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Situational, Organisational</w:t>
            </w: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Racism, discrimination and bullying not adequately managed and addressed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Ignorance/lack of awareness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Curriculum that doesn’t include Aboriginal Australians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An unwelcoming environment for Aboriginal students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Policy development and review is not consultative</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Aboriginal students are less likely to trust school staff which may result in them being less likely to report abuse by adults or peers, and make them more vulnerable to harm</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Aboriginal students do not feel welcome, safe, respected or valued for their diverse and unique identifies which may result in them being less likely to report abuse by adults or peers and make them more vulnerable to harm</w:t>
            </w:r>
          </w:p>
          <w:p>
            <w:pPr>
              <w:numPr>
                <w:ilvl w:val="0"/>
                <w:numId w:val="5"/>
              </w:numPr>
              <w:spacing w:after="0"/>
              <w:ind w:left="133" w:hanging="133"/>
              <w:rPr>
                <w:rFonts w:ascii="Arial"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Child Safety and Wellbeing Policy outlines the controls in place to establish a culturally safe environment and is implemented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Identify other documents that address Aboriginal cultural safety and include these here, such as your:</w:t>
            </w:r>
          </w:p>
          <w:p>
            <w:pPr>
              <w:numPr>
                <w:ilvl w:val="0"/>
                <w:numId w:val="7"/>
              </w:numPr>
              <w:spacing w:after="0"/>
              <w:ind w:left="373" w:hanging="240"/>
              <w:rPr>
                <w:rFonts w:ascii="Arial" w:eastAsia="Calibri" w:hAnsi="Arial" w:cs="Arial"/>
                <w:sz w:val="20"/>
                <w:szCs w:val="20"/>
              </w:rPr>
            </w:pPr>
            <w:r>
              <w:rPr>
                <w:rFonts w:ascii="Arial" w:eastAsia="Calibri" w:hAnsi="Arial" w:cs="Arial"/>
                <w:sz w:val="20"/>
                <w:szCs w:val="20"/>
              </w:rPr>
              <w:t>Action Plan</w:t>
            </w:r>
          </w:p>
          <w:p>
            <w:pPr>
              <w:numPr>
                <w:ilvl w:val="0"/>
                <w:numId w:val="7"/>
              </w:numPr>
              <w:spacing w:after="0"/>
              <w:ind w:left="373" w:hanging="240"/>
              <w:rPr>
                <w:rFonts w:ascii="Arial" w:eastAsia="Calibri" w:hAnsi="Arial" w:cs="Arial"/>
                <w:sz w:val="20"/>
                <w:szCs w:val="20"/>
              </w:rPr>
            </w:pPr>
            <w:r>
              <w:rPr>
                <w:rFonts w:ascii="Arial" w:eastAsia="Calibri" w:hAnsi="Arial" w:cs="Arial"/>
                <w:sz w:val="20"/>
                <w:szCs w:val="20"/>
              </w:rPr>
              <w:t>Student Wellbeing and Engagement Policy</w:t>
            </w:r>
          </w:p>
          <w:p>
            <w:pPr>
              <w:numPr>
                <w:ilvl w:val="0"/>
                <w:numId w:val="7"/>
              </w:numPr>
              <w:spacing w:after="0"/>
              <w:ind w:left="373" w:hanging="240"/>
              <w:rPr>
                <w:rFonts w:ascii="Arial" w:eastAsia="Calibri" w:hAnsi="Arial" w:cs="Arial"/>
                <w:sz w:val="20"/>
                <w:szCs w:val="20"/>
              </w:rPr>
            </w:pPr>
            <w:r>
              <w:rPr>
                <w:rFonts w:ascii="Arial" w:eastAsia="Calibri" w:hAnsi="Arial" w:cs="Arial"/>
                <w:sz w:val="20"/>
                <w:szCs w:val="20"/>
              </w:rPr>
              <w:t>Bullying Prevention Policy</w:t>
            </w:r>
          </w:p>
          <w:p>
            <w:pPr>
              <w:numPr>
                <w:ilvl w:val="0"/>
                <w:numId w:val="7"/>
              </w:numPr>
              <w:spacing w:after="0"/>
              <w:ind w:left="373" w:hanging="240"/>
              <w:rPr>
                <w:rFonts w:ascii="Arial" w:eastAsia="Calibri" w:hAnsi="Arial" w:cs="Arial"/>
                <w:sz w:val="20"/>
                <w:szCs w:val="20"/>
              </w:rPr>
            </w:pPr>
            <w:r>
              <w:rPr>
                <w:rFonts w:ascii="Arial" w:eastAsia="Calibri" w:hAnsi="Arial" w:cs="Arial"/>
                <w:sz w:val="20"/>
                <w:szCs w:val="20"/>
              </w:rPr>
              <w:t>Inclusion and Diversity Policy</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Controls to address racism, discrimination and bullying are outlined in the Bullying Prevention Policy and the Student Wellbeing and Engagement Policy.</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Refer to Aboriginal Action Plan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All staff have completed CUST </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w:t>
            </w:r>
          </w:p>
        </w:tc>
        <w:tc>
          <w:tcPr>
            <w:tcW w:w="3969" w:type="dxa"/>
            <w:tcBorders>
              <w:top w:val="single" w:sz="4" w:space="0" w:color="auto"/>
              <w:bottom w:val="single" w:sz="4" w:space="0" w:color="auto"/>
            </w:tcBorders>
            <w:noWrap/>
            <w:tcMar>
              <w:right w:w="28" w:type="dxa"/>
            </w:tcMar>
          </w:tcPr>
          <w:p>
            <w:pPr>
              <w:numPr>
                <w:ilvl w:val="0"/>
                <w:numId w:val="5"/>
              </w:numPr>
              <w:spacing w:after="0"/>
              <w:rPr>
                <w:rFonts w:eastAsia="Times New Roman" w:cstheme="minorHAnsi"/>
                <w:color w:val="000000"/>
                <w:sz w:val="20"/>
                <w:szCs w:val="20"/>
                <w:lang w:eastAsia="en-AU"/>
              </w:rPr>
            </w:pPr>
            <w:r>
              <w:rPr>
                <w:rFonts w:eastAsia="Calibri" w:cstheme="minorHAnsi"/>
                <w:sz w:val="20"/>
                <w:szCs w:val="20"/>
              </w:rPr>
              <w:t xml:space="preserve">Identify other actions your school may take using the guidance available at </w:t>
            </w:r>
            <w:hyperlink r:id="rId11" w:history="1">
              <w:r>
                <w:rPr>
                  <w:rStyle w:val="Hyperlink"/>
                  <w:rFonts w:eastAsia="Calibri" w:cstheme="minorHAnsi"/>
                  <w:sz w:val="20"/>
                  <w:szCs w:val="20"/>
                </w:rPr>
                <w:t>PROTECT Ch</w:t>
              </w:r>
              <w:r>
                <w:rPr>
                  <w:rStyle w:val="Hyperlink"/>
                  <w:rFonts w:eastAsia="Calibri" w:cstheme="minorHAnsi"/>
                  <w:sz w:val="20"/>
                  <w:szCs w:val="20"/>
                </w:rPr>
                <w:t>i</w:t>
              </w:r>
              <w:r>
                <w:rPr>
                  <w:rStyle w:val="Hyperlink"/>
                  <w:rFonts w:eastAsia="Calibri" w:cstheme="minorHAnsi"/>
                  <w:sz w:val="20"/>
                  <w:szCs w:val="20"/>
                </w:rPr>
                <w:t>ld Safe Standard 1</w:t>
              </w:r>
            </w:hyperlink>
            <w:r>
              <w:rPr>
                <w:rFonts w:eastAsia="Calibri" w:cstheme="minorHAnsi"/>
                <w:sz w:val="20"/>
                <w:szCs w:val="20"/>
              </w:rPr>
              <w:t xml:space="preserve"> </w:t>
            </w:r>
            <w:r>
              <w:rPr>
                <w:rFonts w:eastAsia="Times New Roman" w:cstheme="minorHAnsi"/>
                <w:color w:val="000000"/>
                <w:sz w:val="20"/>
                <w:szCs w:val="20"/>
                <w:lang w:eastAsia="en-AU"/>
              </w:rPr>
              <w:t>(Principal)</w:t>
            </w:r>
          </w:p>
          <w:p>
            <w:pPr>
              <w:numPr>
                <w:ilvl w:val="0"/>
                <w:numId w:val="5"/>
              </w:numPr>
              <w:spacing w:before="100" w:beforeAutospacing="1" w:after="100" w:afterAutospacing="1"/>
              <w:rPr>
                <w:rFonts w:eastAsia="Times New Roman" w:cstheme="minorHAnsi"/>
                <w:color w:val="011A3C"/>
                <w:sz w:val="20"/>
                <w:szCs w:val="20"/>
                <w:lang w:eastAsia="en-AU"/>
              </w:rPr>
            </w:pPr>
            <w:r>
              <w:rPr>
                <w:rFonts w:eastAsia="Times New Roman" w:cstheme="minorHAnsi"/>
                <w:color w:val="011A3C"/>
                <w:sz w:val="20"/>
                <w:szCs w:val="20"/>
                <w:lang w:eastAsia="en-AU"/>
              </w:rPr>
              <w:t>equip staff, students, volunteers and the school community to acknowledge and appreciate the strengths of Aboriginal culture and understand its importance to the wellbeing and safety of Aboriginal children and students</w:t>
            </w:r>
          </w:p>
          <w:p>
            <w:pPr>
              <w:numPr>
                <w:ilvl w:val="0"/>
                <w:numId w:val="5"/>
              </w:numPr>
              <w:spacing w:before="100" w:beforeAutospacing="1" w:after="100" w:afterAutospacing="1"/>
              <w:rPr>
                <w:rFonts w:eastAsia="Times New Roman" w:cstheme="minorHAnsi"/>
                <w:color w:val="011A3C"/>
                <w:sz w:val="20"/>
                <w:szCs w:val="20"/>
                <w:lang w:eastAsia="en-AU"/>
              </w:rPr>
            </w:pPr>
            <w:r>
              <w:rPr>
                <w:rFonts w:eastAsia="Times New Roman" w:cstheme="minorHAnsi"/>
                <w:color w:val="011A3C"/>
                <w:sz w:val="20"/>
                <w:szCs w:val="20"/>
                <w:lang w:eastAsia="en-AU"/>
              </w:rPr>
              <w:t>address any instances of racism within the school environment with appropriate consequences</w:t>
            </w:r>
          </w:p>
          <w:p>
            <w:pPr>
              <w:numPr>
                <w:ilvl w:val="0"/>
                <w:numId w:val="5"/>
              </w:numPr>
              <w:spacing w:before="100" w:beforeAutospacing="1" w:after="100" w:afterAutospacing="1"/>
              <w:rPr>
                <w:rFonts w:eastAsia="Times New Roman" w:cstheme="minorHAnsi"/>
                <w:color w:val="011A3C"/>
                <w:sz w:val="20"/>
                <w:szCs w:val="20"/>
                <w:lang w:eastAsia="en-AU"/>
              </w:rPr>
            </w:pPr>
            <w:r>
              <w:rPr>
                <w:rFonts w:eastAsia="Times New Roman" w:cstheme="minorHAnsi"/>
                <w:color w:val="011A3C"/>
                <w:sz w:val="20"/>
                <w:szCs w:val="20"/>
                <w:lang w:eastAsia="en-AU"/>
              </w:rPr>
              <w:t>actively support participation and inclusion in the school by Aboriginal children, students and their families</w:t>
            </w:r>
          </w:p>
          <w:p>
            <w:pPr>
              <w:numPr>
                <w:ilvl w:val="0"/>
                <w:numId w:val="5"/>
              </w:numPr>
              <w:spacing w:before="100" w:beforeAutospacing="1" w:after="100" w:afterAutospacing="1"/>
              <w:rPr>
                <w:rFonts w:eastAsia="Times New Roman" w:cstheme="minorHAnsi"/>
                <w:color w:val="000000"/>
                <w:sz w:val="20"/>
                <w:szCs w:val="20"/>
                <w:lang w:eastAsia="en-AU"/>
              </w:rPr>
            </w:pPr>
          </w:p>
        </w:tc>
        <w:tc>
          <w:tcPr>
            <w:tcW w:w="1276" w:type="dxa"/>
            <w:tcBorders>
              <w:top w:val="single" w:sz="4" w:space="0" w:color="auto"/>
              <w:bottom w:val="single" w:sz="4" w:space="0" w:color="auto"/>
            </w:tcBorders>
            <w:noWrap/>
            <w:tcMar>
              <w:right w:w="28" w:type="dxa"/>
            </w:tcMar>
          </w:tcPr>
          <w:p>
            <w:pPr>
              <w:spacing w:after="0"/>
              <w:rPr>
                <w:rFonts w:eastAsia="Times New Roman" w:cstheme="minorHAnsi"/>
                <w:color w:val="000000"/>
                <w:sz w:val="20"/>
                <w:szCs w:val="20"/>
                <w:lang w:eastAsia="en-AU"/>
              </w:rPr>
            </w:pPr>
            <w:r>
              <w:rPr>
                <w:rFonts w:eastAsia="Times New Roman" w:cstheme="minorHAnsi"/>
                <w:color w:val="000000"/>
                <w:sz w:val="20"/>
                <w:szCs w:val="20"/>
                <w:lang w:eastAsia="en-AU"/>
              </w:rPr>
              <w:t>End 2022</w:t>
            </w: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t>Child Safe Standard 2 – School leadership, governance and culture</w:t>
            </w:r>
          </w:p>
        </w:tc>
      </w:tr>
      <w:tr>
        <w:trPr>
          <w:trHeight w:val="148"/>
        </w:trPr>
        <w:tc>
          <w:tcPr>
            <w:tcW w:w="2406" w:type="dxa"/>
            <w:tcBorders>
              <w:top w:val="single" w:sz="4" w:space="0" w:color="auto"/>
            </w:tcBorders>
            <w:noWrap/>
            <w:tcMar>
              <w:right w:w="28" w:type="dxa"/>
            </w:tcMar>
          </w:tcPr>
          <w:p>
            <w:pPr>
              <w:spacing w:after="60"/>
              <w:rPr>
                <w:rFonts w:ascii="Arial" w:eastAsia="Calibri" w:hAnsi="Arial" w:cs="Arial"/>
                <w:b/>
                <w:bCs/>
                <w:sz w:val="20"/>
                <w:szCs w:val="20"/>
              </w:rPr>
            </w:pPr>
            <w:r>
              <w:rPr>
                <w:rFonts w:ascii="Arial" w:eastAsia="Calibri" w:hAnsi="Arial" w:cs="Arial"/>
                <w:b/>
                <w:bCs/>
                <w:sz w:val="20"/>
                <w:szCs w:val="20"/>
              </w:rPr>
              <w:t xml:space="preserve">Risk Title: </w:t>
            </w:r>
          </w:p>
          <w:p>
            <w:pPr>
              <w:spacing w:after="0"/>
              <w:rPr>
                <w:rFonts w:ascii="Arial" w:eastAsia="Calibri" w:hAnsi="Arial" w:cs="Arial"/>
                <w:sz w:val="20"/>
                <w:szCs w:val="20"/>
              </w:rPr>
            </w:pPr>
            <w:r>
              <w:rPr>
                <w:rFonts w:ascii="Arial" w:eastAsia="Calibri" w:hAnsi="Arial" w:cs="Arial"/>
                <w:sz w:val="20"/>
                <w:szCs w:val="20"/>
              </w:rPr>
              <w:t>Leadership, governance and culture</w:t>
            </w:r>
          </w:p>
          <w:p>
            <w:pPr>
              <w:spacing w:after="0"/>
              <w:rPr>
                <w:rFonts w:ascii="Arial" w:eastAsia="Times New Roman" w:hAnsi="Arial" w:cs="Arial"/>
                <w:color w:val="000000"/>
                <w:sz w:val="20"/>
                <w:szCs w:val="20"/>
                <w:lang w:eastAsia="en-AU"/>
              </w:rPr>
            </w:pPr>
          </w:p>
          <w:p>
            <w:pPr>
              <w:spacing w:after="60"/>
              <w:rPr>
                <w:rFonts w:ascii="Arial" w:eastAsia="Calibri" w:hAnsi="Arial" w:cs="Arial"/>
                <w:b/>
                <w:bCs/>
                <w:sz w:val="20"/>
                <w:szCs w:val="20"/>
              </w:rPr>
            </w:pPr>
            <w:r>
              <w:rPr>
                <w:rFonts w:ascii="Arial" w:eastAsia="Calibri" w:hAnsi="Arial" w:cs="Arial"/>
                <w:b/>
                <w:bCs/>
                <w:sz w:val="20"/>
                <w:szCs w:val="20"/>
              </w:rPr>
              <w:t xml:space="preserve">Description: </w:t>
            </w:r>
          </w:p>
          <w:p>
            <w:pPr>
              <w:rPr>
                <w:rFonts w:ascii="Arial" w:hAnsi="Arial" w:cs="Arial"/>
                <w:color w:val="000000"/>
                <w:sz w:val="20"/>
                <w:szCs w:val="20"/>
                <w:lang w:eastAsia="en-AU"/>
              </w:rPr>
            </w:pPr>
            <w:r>
              <w:rPr>
                <w:rFonts w:ascii="Arial" w:eastAsia="Calibri" w:hAnsi="Arial" w:cs="Arial"/>
                <w:sz w:val="20"/>
                <w:szCs w:val="20"/>
              </w:rPr>
              <w:t>There is a risk t</w:t>
            </w:r>
            <w:r>
              <w:rPr>
                <w:rFonts w:ascii="Arial" w:hAnsi="Arial" w:cs="Arial"/>
                <w:color w:val="000000"/>
                <w:sz w:val="20"/>
                <w:szCs w:val="20"/>
                <w:lang w:eastAsia="en-AU"/>
              </w:rPr>
              <w:t>hat child safety and wellbeing is not embedded in the school’s leadership, governance and culture</w:t>
            </w: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rPr>
                <w:rFonts w:ascii="Arial" w:eastAsia="Times New Roman" w:hAnsi="Arial" w:cs="Arial"/>
                <w:color w:val="000000"/>
                <w:sz w:val="20"/>
                <w:szCs w:val="20"/>
                <w:lang w:eastAsia="en-AU"/>
              </w:rPr>
            </w:pPr>
            <w:r>
              <w:rPr>
                <w:rFonts w:ascii="Arial" w:eastAsia="Times New Roman" w:hAnsi="Arial" w:cs="Arial"/>
                <w:color w:val="000000" w:themeColor="text1"/>
                <w:sz w:val="20"/>
                <w:szCs w:val="20"/>
                <w:lang w:eastAsia="en-AU"/>
              </w:rPr>
              <w:t>Organisational, Propensity</w:t>
            </w:r>
          </w:p>
        </w:tc>
        <w:tc>
          <w:tcPr>
            <w:tcW w:w="3260" w:type="dxa"/>
            <w:tcBorders>
              <w:top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Child safety is not prioritised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Decision-making power concentrated in one individual</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Unclear accountabilities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Staff and volunteers are unaware of the school’s expectations relating to their conduct and role in supporting child safety and wellbeing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Culture of secret keeping</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Poor management of conflicts of interest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Lack of leadership on child safety</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Poor understanding of the foreseeable risks relating to child abuse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Poor understanding of recordkeeping and information management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Poor child safety messaging</w:t>
            </w:r>
          </w:p>
        </w:tc>
        <w:tc>
          <w:tcPr>
            <w:tcW w:w="4110" w:type="dxa"/>
            <w:tcBorders>
              <w:top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Increased risk of child abuse occurring, remaining undetected and not being responded to appropriately because the school does not have a culture of child safety and reporting of child safety incidents or concerns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Increased risk of child abuse occurring, remaining undetected and not being responded to appropriately because staff and volunteer roles and responsibilities are not clear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Poor practices and understanding of information sharing obligations may result in staff or volunteers not sharing important information to reduce the risk of child abuse or conversely, sharing sensitive information inappropriately contributing to further harm.</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Poor records and record-keeping practice can contribute to delays or failures to identify and respond to child safety risks and incidents and can obstruct survivors </w:t>
            </w:r>
            <w:r>
              <w:rPr>
                <w:rFonts w:ascii="Arial" w:eastAsia="Calibri" w:hAnsi="Arial" w:cs="Arial"/>
                <w:sz w:val="20"/>
                <w:szCs w:val="20"/>
              </w:rPr>
              <w:lastRenderedPageBreak/>
              <w:t xml:space="preserve">seeking information about their time at our school. It can also compromise the school’s ability to monitor for systemic issues that required changes to policy, procedure or practice.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Our Child Safety and Wellbeing Policy outlines the controls in place to ensure a child safe culture is embedded across the school and is implemented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Child Safety Code of Conduct is adopted and actively enforced by school leadership. Inconsistent staff, contractor or volunteer conduct is swiftly addressed.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Child Safety and Wellbeing Policy and Code of Conduct are publicly available and promoted in the school community</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This risk register is reviewed annually and after any significant child safety incident or concern</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Our Volunteers Policy supports </w:t>
            </w:r>
            <w:r>
              <w:rPr>
                <w:rFonts w:ascii="Arial" w:eastAsia="Times New Roman" w:hAnsi="Arial" w:cs="Arial"/>
                <w:sz w:val="20"/>
                <w:szCs w:val="20"/>
                <w:lang w:eastAsia="en-AU"/>
              </w:rPr>
              <w:t xml:space="preserve">volunteers to understand </w:t>
            </w:r>
            <w:r>
              <w:rPr>
                <w:rFonts w:ascii="Arial" w:hAnsi="Arial" w:cs="Arial"/>
                <w:sz w:val="20"/>
                <w:szCs w:val="20"/>
              </w:rPr>
              <w:t>their</w:t>
            </w:r>
            <w:r>
              <w:rPr>
                <w:rFonts w:ascii="Arial" w:eastAsia="Times New Roman" w:hAnsi="Arial" w:cs="Arial"/>
                <w:sz w:val="20"/>
                <w:szCs w:val="20"/>
                <w:lang w:eastAsia="en-AU"/>
              </w:rPr>
              <w:t xml:space="preserve"> </w:t>
            </w:r>
            <w:r>
              <w:rPr>
                <w:rFonts w:ascii="Arial" w:hAnsi="Arial" w:cs="Arial"/>
                <w:sz w:val="20"/>
                <w:szCs w:val="20"/>
              </w:rPr>
              <w:t>obligations</w:t>
            </w:r>
            <w:r>
              <w:rPr>
                <w:rFonts w:ascii="Arial" w:eastAsia="Times New Roman" w:hAnsi="Arial" w:cs="Arial"/>
                <w:sz w:val="20"/>
                <w:szCs w:val="20"/>
                <w:lang w:eastAsia="en-AU"/>
              </w:rPr>
              <w:t xml:space="preserve"> on information sharing and recordkeeping</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PROTECT posters and the Four Critical Actions are displayed around the school</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Records management obligations are met through adherence to the </w:t>
            </w:r>
            <w:hyperlink r:id="rId12" w:history="1">
              <w:r>
                <w:rPr>
                  <w:rStyle w:val="Hyperlink"/>
                  <w:rFonts w:ascii="Arial" w:hAnsi="Arial" w:cs="Arial"/>
                  <w:sz w:val="20"/>
                  <w:szCs w:val="20"/>
                </w:rPr>
                <w:t>Records Management - School Records Policy</w:t>
              </w:r>
            </w:hyperlink>
            <w:r>
              <w:rPr>
                <w:rStyle w:val="Hyperlink"/>
                <w:rFonts w:ascii="Arial" w:hAnsi="Arial" w:cs="Arial"/>
                <w:sz w:val="20"/>
                <w:szCs w:val="20"/>
              </w:rPr>
              <w:t xml:space="preserve"> </w:t>
            </w:r>
            <w:r>
              <w:rPr>
                <w:rFonts w:ascii="Arial" w:eastAsia="Calibri" w:hAnsi="Arial" w:cs="Arial"/>
                <w:sz w:val="20"/>
                <w:szCs w:val="20"/>
              </w:rPr>
              <w:t xml:space="preserve">and all staff and relevant volunteers understand their obligations on information sharing </w:t>
            </w:r>
            <w:r>
              <w:rPr>
                <w:rFonts w:ascii="Arial" w:eastAsia="Calibri" w:hAnsi="Arial" w:cs="Arial"/>
                <w:sz w:val="20"/>
                <w:szCs w:val="20"/>
              </w:rPr>
              <w:lastRenderedPageBreak/>
              <w:t>and record keeping through induction, training and support from leadership.</w:t>
            </w:r>
          </w:p>
        </w:tc>
        <w:tc>
          <w:tcPr>
            <w:tcW w:w="1701" w:type="dxa"/>
            <w:tcBorders>
              <w:top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lastRenderedPageBreak/>
              <w:t>Yes</w:t>
            </w:r>
          </w:p>
        </w:tc>
        <w:tc>
          <w:tcPr>
            <w:tcW w:w="3969" w:type="dxa"/>
            <w:tcBorders>
              <w:top w:val="single" w:sz="4" w:space="0" w:color="auto"/>
            </w:tcBorders>
            <w:noWrap/>
            <w:tcMar>
              <w:right w:w="28" w:type="dxa"/>
            </w:tcMar>
          </w:tcPr>
          <w:p>
            <w:pPr>
              <w:numPr>
                <w:ilvl w:val="0"/>
                <w:numId w:val="5"/>
              </w:numPr>
              <w:spacing w:after="0"/>
              <w:rPr>
                <w:rFonts w:ascii="Arial" w:eastAsia="Calibri" w:hAnsi="Arial" w:cs="Arial"/>
                <w:sz w:val="20"/>
                <w:szCs w:val="20"/>
              </w:rPr>
            </w:pPr>
            <w:r>
              <w:rPr>
                <w:rFonts w:ascii="Arial" w:eastAsia="Calibri" w:hAnsi="Arial" w:cs="Arial"/>
                <w:sz w:val="20"/>
                <w:szCs w:val="20"/>
              </w:rPr>
              <w:t xml:space="preserve">Identify other actions your school may take using the guidance available at </w:t>
            </w:r>
            <w:hyperlink r:id="rId13" w:history="1">
              <w:r>
                <w:rPr>
                  <w:rStyle w:val="Hyperlink"/>
                  <w:rFonts w:ascii="Arial" w:eastAsia="Calibri" w:hAnsi="Arial" w:cs="Arial"/>
                  <w:sz w:val="20"/>
                  <w:szCs w:val="20"/>
                </w:rPr>
                <w:t>PROTEC</w:t>
              </w:r>
              <w:r>
                <w:rPr>
                  <w:rStyle w:val="Hyperlink"/>
                  <w:rFonts w:ascii="Arial" w:eastAsia="Calibri" w:hAnsi="Arial" w:cs="Arial"/>
                  <w:sz w:val="20"/>
                  <w:szCs w:val="20"/>
                </w:rPr>
                <w:t>T</w:t>
              </w:r>
              <w:r>
                <w:rPr>
                  <w:rStyle w:val="Hyperlink"/>
                  <w:rFonts w:ascii="Arial" w:eastAsia="Calibri" w:hAnsi="Arial" w:cs="Arial"/>
                  <w:sz w:val="20"/>
                  <w:szCs w:val="20"/>
                </w:rPr>
                <w:t xml:space="preserve"> Child Safe Standard 2</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monitor, annually review and evaluate child safety and wellbeing risks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 xml:space="preserve">adhere to </w:t>
            </w:r>
            <w:r>
              <w:rPr>
                <w:rFonts w:ascii="Arial" w:eastAsia="Times New Roman" w:hAnsi="Arial" w:cs="Arial"/>
                <w:color w:val="011A3C"/>
                <w:sz w:val="20"/>
                <w:szCs w:val="20"/>
                <w:lang w:eastAsia="en-AU"/>
              </w:rPr>
              <w:t> </w:t>
            </w:r>
            <w:hyperlink r:id="rId14" w:history="1">
              <w:r>
                <w:rPr>
                  <w:rFonts w:ascii="Arial" w:eastAsia="Times New Roman" w:hAnsi="Arial" w:cs="Arial"/>
                  <w:color w:val="0052C2"/>
                  <w:sz w:val="20"/>
                  <w:szCs w:val="20"/>
                  <w:lang w:eastAsia="en-AU"/>
                </w:rPr>
                <w:t>Pu</w:t>
              </w:r>
              <w:r>
                <w:rPr>
                  <w:rFonts w:ascii="Arial" w:eastAsia="Times New Roman" w:hAnsi="Arial" w:cs="Arial"/>
                  <w:color w:val="0052C2"/>
                  <w:sz w:val="20"/>
                  <w:szCs w:val="20"/>
                  <w:lang w:eastAsia="en-AU"/>
                </w:rPr>
                <w:t>b</w:t>
              </w:r>
              <w:r>
                <w:rPr>
                  <w:rFonts w:ascii="Arial" w:eastAsia="Times New Roman" w:hAnsi="Arial" w:cs="Arial"/>
                  <w:color w:val="0052C2"/>
                  <w:sz w:val="20"/>
                  <w:szCs w:val="20"/>
                  <w:lang w:eastAsia="en-AU"/>
                </w:rPr>
                <w:t>lic Record Office Victoria Recordkeeping Standards (PDF, 653KB)</w:t>
              </w:r>
            </w:hyperlink>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make sure school staff and volunteers understand their obligations in information sharing and recordkeeping.</w:t>
            </w:r>
          </w:p>
          <w:p>
            <w:pPr>
              <w:spacing w:after="0"/>
              <w:ind w:left="360"/>
              <w:rPr>
                <w:rFonts w:ascii="Arial" w:eastAsia="Calibri" w:hAnsi="Arial" w:cs="Arial"/>
                <w:sz w:val="20"/>
                <w:szCs w:val="20"/>
              </w:rPr>
            </w:pPr>
          </w:p>
        </w:tc>
        <w:tc>
          <w:tcPr>
            <w:tcW w:w="1276" w:type="dxa"/>
            <w:tcBorders>
              <w:top w:val="single" w:sz="4" w:space="0" w:color="auto"/>
            </w:tcBorders>
            <w:noWrap/>
            <w:tcMar>
              <w:right w:w="28" w:type="dxa"/>
            </w:tcMar>
          </w:tcPr>
          <w:p>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End 2022</w:t>
            </w: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0"/>
                <w:szCs w:val="20"/>
                <w:lang w:eastAsia="en-AU"/>
              </w:rPr>
            </w:pPr>
            <w:r>
              <w:rPr>
                <w:rFonts w:ascii="Arial" w:eastAsia="Times New Roman" w:hAnsi="Arial" w:cs="Arial"/>
                <w:b/>
                <w:bCs/>
                <w:color w:val="000000" w:themeColor="text1"/>
                <w:sz w:val="20"/>
                <w:szCs w:val="20"/>
                <w:lang w:eastAsia="en-AU"/>
              </w:rPr>
              <w:t>Child Safe Standard 3 – Children are safe, informed and actively participate</w:t>
            </w:r>
          </w:p>
        </w:tc>
      </w:tr>
      <w:tr>
        <w:trPr>
          <w:trHeight w:val="1141"/>
        </w:trPr>
        <w:tc>
          <w:tcPr>
            <w:tcW w:w="2406" w:type="dxa"/>
            <w:tcBorders>
              <w:top w:val="single" w:sz="4" w:space="0" w:color="auto"/>
            </w:tcBorders>
            <w:noWrap/>
            <w:tcMar>
              <w:right w:w="28" w:type="dxa"/>
            </w:tcMar>
          </w:tcPr>
          <w:p>
            <w:pPr>
              <w:spacing w:after="0"/>
              <w:rPr>
                <w:rFonts w:ascii="Arial" w:eastAsia="Calibri" w:hAnsi="Arial" w:cs="Arial"/>
                <w:sz w:val="20"/>
                <w:szCs w:val="20"/>
              </w:rPr>
            </w:pPr>
            <w:r>
              <w:rPr>
                <w:rFonts w:ascii="Arial" w:eastAsia="Calibri" w:hAnsi="Arial" w:cs="Arial"/>
                <w:b/>
                <w:bCs/>
                <w:sz w:val="20"/>
                <w:szCs w:val="20"/>
              </w:rPr>
              <w:t>Risk Title:</w:t>
            </w:r>
            <w:r>
              <w:rPr>
                <w:rFonts w:ascii="Arial" w:eastAsia="Calibri" w:hAnsi="Arial" w:cs="Arial"/>
                <w:sz w:val="20"/>
                <w:szCs w:val="20"/>
              </w:rPr>
              <w:t xml:space="preserve"> Student empowerment</w:t>
            </w:r>
          </w:p>
          <w:p>
            <w:pPr>
              <w:spacing w:after="0"/>
              <w:rPr>
                <w:rFonts w:ascii="Arial" w:eastAsia="Calibri" w:hAnsi="Arial" w:cs="Arial"/>
                <w:sz w:val="20"/>
                <w:szCs w:val="20"/>
              </w:rPr>
            </w:pPr>
          </w:p>
          <w:p>
            <w:pPr>
              <w:spacing w:after="0"/>
              <w:rPr>
                <w:rFonts w:ascii="Arial" w:eastAsia="Calibri" w:hAnsi="Arial" w:cs="Arial"/>
                <w:color w:val="000000" w:themeColor="text1"/>
                <w:sz w:val="20"/>
                <w:szCs w:val="20"/>
              </w:rPr>
            </w:pPr>
            <w:r>
              <w:rPr>
                <w:rFonts w:ascii="Arial" w:eastAsia="Calibri" w:hAnsi="Arial" w:cs="Arial"/>
                <w:b/>
                <w:bCs/>
                <w:sz w:val="20"/>
                <w:szCs w:val="20"/>
              </w:rPr>
              <w:t xml:space="preserve">Description: </w:t>
            </w:r>
            <w:r>
              <w:rPr>
                <w:rFonts w:ascii="Arial" w:eastAsia="Times New Roman" w:hAnsi="Arial" w:cs="Arial"/>
                <w:color w:val="000000"/>
                <w:sz w:val="20"/>
                <w:szCs w:val="20"/>
                <w:lang w:eastAsia="en-AU"/>
              </w:rPr>
              <w:t>There is a risk that students will not be empowered about their rights, participate in decisions affecting them or be taken seriousl</w:t>
            </w:r>
            <w:r>
              <w:rPr>
                <w:rFonts w:ascii="Arial" w:eastAsia="Calibri" w:hAnsi="Arial" w:cs="Arial"/>
                <w:color w:val="000000" w:themeColor="text1"/>
                <w:sz w:val="20"/>
                <w:szCs w:val="20"/>
              </w:rPr>
              <w:t>y</w:t>
            </w:r>
          </w:p>
          <w:p>
            <w:pPr>
              <w:spacing w:after="0"/>
              <w:rPr>
                <w:rFonts w:ascii="Arial" w:eastAsia="Times New Roman" w:hAnsi="Arial" w:cs="Arial"/>
                <w:b/>
                <w:color w:val="000000"/>
                <w:sz w:val="20"/>
                <w:szCs w:val="20"/>
                <w:lang w:eastAsia="en-AU"/>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Times New Roman" w:hAnsi="Arial" w:cs="Arial"/>
                <w:b/>
                <w:color w:val="000000"/>
                <w:sz w:val="20"/>
                <w:szCs w:val="20"/>
                <w:lang w:eastAsia="en-AU"/>
              </w:rPr>
            </w:pPr>
            <w:r>
              <w:rPr>
                <w:rFonts w:ascii="Arial" w:eastAsia="Times New Roman" w:hAnsi="Arial" w:cs="Arial"/>
                <w:color w:val="000000"/>
                <w:sz w:val="20"/>
                <w:szCs w:val="20"/>
                <w:lang w:eastAsia="en-AU"/>
              </w:rPr>
              <w:t>Vulnerability</w:t>
            </w:r>
          </w:p>
        </w:tc>
        <w:tc>
          <w:tcPr>
            <w:tcW w:w="3260" w:type="dxa"/>
            <w:tcBorders>
              <w:top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Students don’t know how to make a complaint or raise a concern or don’t feel confident that they will be listened to</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Students don’t understand their rights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 input in decision making is not supported or valued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 contributions or concerns are not taken seriously</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Students are not offered sexual abuse prevention education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Students are coerced or silenced by adults at the school</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Lack of friendship or peer support</w:t>
            </w:r>
          </w:p>
        </w:tc>
        <w:tc>
          <w:tcPr>
            <w:tcW w:w="4110" w:type="dxa"/>
            <w:tcBorders>
              <w:top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Abuse is more likely to happen if students do not feel supported to participate in decisions that affect them and do not feel like they will be listened to.</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Failure to empower students with information about their rights, child safety risks, and sexual abuse prevention will increase the risk of abuse going unidentified and unspoken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If students do not feel confident or empowered to raise a concern, they will be unwilling to report abuse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Lack of friendship or peer support may increase vulnerability to abuse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Lack of friendship or peer support increases the risk that the student will not feel confident to discuss concerns with their peers, making it more likely that abuse will go unidentified and unspoken</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Child Safety and Wellbeing Policy outlines the controls in place to support child and student empowerment and is implemented</w:t>
            </w:r>
          </w:p>
          <w:p>
            <w:pPr>
              <w:numPr>
                <w:ilvl w:val="0"/>
                <w:numId w:val="5"/>
              </w:numPr>
              <w:spacing w:after="0"/>
              <w:ind w:left="133" w:hanging="133"/>
              <w:rPr>
                <w:rFonts w:ascii="Arial" w:eastAsia="Times New Roman" w:hAnsi="Arial" w:cs="Arial"/>
                <w:sz w:val="20"/>
                <w:szCs w:val="20"/>
                <w:lang w:val="en-GB" w:eastAsia="en-AU"/>
              </w:rPr>
            </w:pPr>
            <w:r>
              <w:rPr>
                <w:rFonts w:ascii="Arial" w:eastAsia="Times New Roman" w:hAnsi="Arial" w:cs="Arial"/>
                <w:sz w:val="20"/>
                <w:szCs w:val="20"/>
                <w:lang w:eastAsia="en-AU"/>
              </w:rPr>
              <w:t>Complaints Policy details how students can raise complaints and concerns and is promoted widely to parents and students</w:t>
            </w:r>
          </w:p>
          <w:p>
            <w:pPr>
              <w:numPr>
                <w:ilvl w:val="0"/>
                <w:numId w:val="5"/>
              </w:numPr>
              <w:spacing w:after="0"/>
              <w:ind w:left="133" w:hanging="133"/>
              <w:rPr>
                <w:rFonts w:ascii="Arial" w:eastAsia="Times New Roman" w:hAnsi="Arial" w:cs="Arial"/>
                <w:sz w:val="20"/>
                <w:szCs w:val="20"/>
                <w:lang w:val="en-GB" w:eastAsia="en-AU"/>
              </w:rPr>
            </w:pPr>
            <w:r>
              <w:rPr>
                <w:rFonts w:ascii="Arial" w:eastAsia="Times New Roman" w:hAnsi="Arial" w:cs="Arial"/>
                <w:sz w:val="20"/>
                <w:szCs w:val="20"/>
                <w:lang w:eastAsia="en-AU"/>
              </w:rPr>
              <w:t xml:space="preserve">Student Wellbeing and Engagement Policy outlines the controls in place to ensure student wellbeing is supported and prioritised </w:t>
            </w:r>
          </w:p>
          <w:p>
            <w:pPr>
              <w:numPr>
                <w:ilvl w:val="0"/>
                <w:numId w:val="5"/>
              </w:numPr>
              <w:spacing w:after="0"/>
              <w:ind w:left="133" w:hanging="133"/>
              <w:rPr>
                <w:rFonts w:ascii="Arial" w:eastAsia="Calibri" w:hAnsi="Arial" w:cs="Arial"/>
                <w:sz w:val="20"/>
                <w:szCs w:val="20"/>
                <w:lang w:val="en-GB"/>
              </w:rPr>
            </w:pPr>
            <w:r>
              <w:rPr>
                <w:rFonts w:ascii="Arial" w:eastAsia="Times New Roman" w:hAnsi="Arial" w:cs="Arial"/>
                <w:sz w:val="20"/>
                <w:szCs w:val="20"/>
                <w:lang w:eastAsia="en-AU"/>
              </w:rPr>
              <w:t xml:space="preserve">Students are provided with age-appropriate sexual abuse prevention programs and relevant related information through </w:t>
            </w:r>
            <w:hyperlink r:id="rId15" w:anchor="link47" w:history="1">
              <w:r>
                <w:rPr>
                  <w:rStyle w:val="Hyperlink"/>
                  <w:rFonts w:ascii="Arial" w:eastAsia="Times New Roman" w:hAnsi="Arial" w:cs="Arial"/>
                  <w:sz w:val="20"/>
                  <w:szCs w:val="20"/>
                  <w:lang w:eastAsia="en-AU"/>
                </w:rPr>
                <w:t xml:space="preserve">Resilience, Rights and Respectful Relationships teaching and learning materials </w:t>
              </w:r>
            </w:hyperlink>
            <w:r>
              <w:rPr>
                <w:rFonts w:ascii="Arial" w:eastAsia="Times New Roman" w:hAnsi="Arial" w:cs="Arial"/>
                <w:sz w:val="20"/>
                <w:szCs w:val="20"/>
                <w:highlight w:val="yellow"/>
                <w:lang w:eastAsia="en-AU"/>
              </w:rPr>
              <w:t xml:space="preserve"> </w:t>
            </w:r>
          </w:p>
          <w:p>
            <w:pPr>
              <w:numPr>
                <w:ilvl w:val="0"/>
                <w:numId w:val="5"/>
              </w:numPr>
              <w:spacing w:after="0"/>
              <w:ind w:left="133" w:hanging="133"/>
              <w:rPr>
                <w:rFonts w:ascii="Arial" w:eastAsia="Calibri" w:hAnsi="Arial" w:cs="Arial"/>
                <w:sz w:val="20"/>
                <w:szCs w:val="20"/>
                <w:lang w:val="en-GB"/>
              </w:rPr>
            </w:pPr>
            <w:r>
              <w:rPr>
                <w:rFonts w:ascii="Arial" w:eastAsia="Calibri" w:hAnsi="Arial" w:cs="Arial"/>
                <w:sz w:val="20"/>
                <w:szCs w:val="20"/>
              </w:rPr>
              <w:t>Students are educated about their rights through Life Education Program</w:t>
            </w:r>
          </w:p>
          <w:p>
            <w:pPr>
              <w:numPr>
                <w:ilvl w:val="0"/>
                <w:numId w:val="5"/>
              </w:numPr>
              <w:spacing w:after="0"/>
              <w:ind w:left="133" w:hanging="133"/>
              <w:rPr>
                <w:rFonts w:ascii="Arial" w:eastAsia="Calibri" w:hAnsi="Arial" w:cs="Arial"/>
                <w:sz w:val="20"/>
                <w:szCs w:val="20"/>
                <w:lang w:val="en-GB"/>
              </w:rPr>
            </w:pPr>
            <w:r>
              <w:rPr>
                <w:rFonts w:ascii="Arial" w:eastAsia="Calibri" w:hAnsi="Arial" w:cs="Arial"/>
                <w:sz w:val="20"/>
                <w:szCs w:val="20"/>
              </w:rPr>
              <w:t>Braveheart Program</w:t>
            </w:r>
          </w:p>
          <w:p>
            <w:pPr>
              <w:numPr>
                <w:ilvl w:val="0"/>
                <w:numId w:val="5"/>
              </w:numPr>
              <w:spacing w:after="0"/>
              <w:ind w:left="133" w:hanging="133"/>
              <w:rPr>
                <w:rFonts w:ascii="Arial" w:eastAsia="Calibri" w:hAnsi="Arial" w:cs="Arial"/>
                <w:sz w:val="20"/>
                <w:szCs w:val="20"/>
                <w:lang w:val="en-GB"/>
              </w:rPr>
            </w:pPr>
            <w:r>
              <w:rPr>
                <w:rFonts w:ascii="Arial" w:eastAsia="Calibri" w:hAnsi="Arial" w:cs="Arial"/>
                <w:sz w:val="20"/>
                <w:szCs w:val="20"/>
              </w:rPr>
              <w:t>Friendship and peer support are promoted through Respectful Relationships</w:t>
            </w:r>
          </w:p>
        </w:tc>
        <w:tc>
          <w:tcPr>
            <w:tcW w:w="1701" w:type="dxa"/>
            <w:tcBorders>
              <w:top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w:t>
            </w:r>
          </w:p>
        </w:tc>
        <w:tc>
          <w:tcPr>
            <w:tcW w:w="3969" w:type="dxa"/>
            <w:tcBorders>
              <w:top w:val="single" w:sz="4" w:space="0" w:color="auto"/>
            </w:tcBorders>
            <w:noWrap/>
            <w:tcMar>
              <w:right w:w="28" w:type="dxa"/>
            </w:tcMar>
          </w:tcPr>
          <w:p>
            <w:pPr>
              <w:numPr>
                <w:ilvl w:val="0"/>
                <w:numId w:val="5"/>
              </w:numPr>
              <w:spacing w:after="0"/>
              <w:rPr>
                <w:rFonts w:ascii="Arial" w:eastAsia="Times New Roman" w:hAnsi="Arial" w:cs="Arial"/>
                <w:color w:val="000000"/>
                <w:sz w:val="20"/>
                <w:szCs w:val="20"/>
                <w:lang w:eastAsia="en-AU"/>
              </w:rPr>
            </w:pPr>
            <w:r>
              <w:rPr>
                <w:rFonts w:ascii="Arial" w:eastAsia="Calibri" w:hAnsi="Arial" w:cs="Arial"/>
                <w:sz w:val="20"/>
                <w:szCs w:val="20"/>
              </w:rPr>
              <w:t xml:space="preserve">Identify other actions your school may take using the guidance available at </w:t>
            </w:r>
            <w:hyperlink r:id="rId16" w:history="1">
              <w:r>
                <w:rPr>
                  <w:rStyle w:val="Hyperlink"/>
                  <w:rFonts w:ascii="Arial" w:eastAsia="Calibri" w:hAnsi="Arial" w:cs="Arial"/>
                  <w:sz w:val="20"/>
                  <w:szCs w:val="20"/>
                </w:rPr>
                <w:t>PROTECT Ch</w:t>
              </w:r>
              <w:r>
                <w:rPr>
                  <w:rStyle w:val="Hyperlink"/>
                  <w:rFonts w:ascii="Arial" w:eastAsia="Calibri" w:hAnsi="Arial" w:cs="Arial"/>
                  <w:sz w:val="20"/>
                  <w:szCs w:val="20"/>
                </w:rPr>
                <w:t>i</w:t>
              </w:r>
              <w:r>
                <w:rPr>
                  <w:rStyle w:val="Hyperlink"/>
                  <w:rFonts w:ascii="Arial" w:eastAsia="Calibri" w:hAnsi="Arial" w:cs="Arial"/>
                  <w:sz w:val="20"/>
                  <w:szCs w:val="20"/>
                </w:rPr>
                <w:t>ld Safe Standard 3</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inform students about all their rights, including their rights to safety, information and participation</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recognise the importance of friendships and encourage support from peers, to help students feel safe and be less isolated</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make sure staff and volunteers:</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are attuned to </w:t>
            </w:r>
            <w:hyperlink r:id="rId17" w:history="1">
              <w:r>
                <w:rPr>
                  <w:rFonts w:ascii="Arial" w:eastAsia="Times New Roman" w:hAnsi="Arial" w:cs="Arial"/>
                  <w:color w:val="0052C2"/>
                  <w:sz w:val="20"/>
                  <w:szCs w:val="20"/>
                  <w:lang w:eastAsia="en-AU"/>
                </w:rPr>
                <w:t>signs of harm</w:t>
              </w:r>
            </w:hyperlink>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facilitate child-friendly ways for students to express their views, participate in decision-making and raise their concerns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give students opportunities to participate, and respond to their contributions to strengthen confidence and engagement</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 xml:space="preserve">offer students access to sexual abuse prevention programs and related information in an age-appropriate way. </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develop curriculum planning documents that details how the school will address these requirements.</w:t>
            </w:r>
          </w:p>
          <w:p>
            <w:pPr>
              <w:spacing w:after="0"/>
              <w:ind w:left="360"/>
              <w:rPr>
                <w:rFonts w:ascii="Arial" w:eastAsia="Times New Roman" w:hAnsi="Arial" w:cs="Arial"/>
                <w:color w:val="000000"/>
                <w:sz w:val="20"/>
                <w:szCs w:val="20"/>
                <w:lang w:eastAsia="en-AU"/>
              </w:rPr>
            </w:pPr>
          </w:p>
        </w:tc>
        <w:tc>
          <w:tcPr>
            <w:tcW w:w="1276" w:type="dxa"/>
            <w:tcBorders>
              <w:top w:val="single" w:sz="4" w:space="0" w:color="auto"/>
            </w:tcBorders>
            <w:noWrap/>
            <w:tcMar>
              <w:right w:w="28" w:type="dxa"/>
            </w:tcMar>
          </w:tcPr>
          <w:p>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End 2022 </w:t>
            </w:r>
          </w:p>
          <w:p>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Ongoing</w:t>
            </w: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t>Child Safe Standard 4 – Family engagement</w:t>
            </w:r>
          </w:p>
        </w:tc>
      </w:tr>
      <w:tr>
        <w:trPr>
          <w:trHeight w:val="70"/>
        </w:trPr>
        <w:tc>
          <w:tcPr>
            <w:tcW w:w="2406" w:type="dxa"/>
            <w:tcBorders>
              <w:top w:val="single" w:sz="4" w:space="0" w:color="auto"/>
              <w:bottom w:val="single" w:sz="4" w:space="0" w:color="auto"/>
            </w:tcBorders>
            <w:noWrap/>
            <w:tcMar>
              <w:right w:w="28" w:type="dxa"/>
            </w:tcMar>
          </w:tcPr>
          <w:p>
            <w:pPr>
              <w:spacing w:after="0"/>
              <w:rPr>
                <w:rFonts w:ascii="Arial" w:eastAsia="Calibri" w:hAnsi="Arial" w:cs="Arial"/>
                <w:b/>
                <w:bCs/>
                <w:sz w:val="20"/>
                <w:szCs w:val="20"/>
              </w:rPr>
            </w:pPr>
            <w:r>
              <w:rPr>
                <w:rFonts w:ascii="Arial" w:eastAsia="Calibri" w:hAnsi="Arial" w:cs="Arial"/>
                <w:b/>
                <w:bCs/>
                <w:sz w:val="20"/>
                <w:szCs w:val="20"/>
              </w:rPr>
              <w:t xml:space="preserve">Risk Title: </w:t>
            </w:r>
            <w:r>
              <w:rPr>
                <w:rFonts w:ascii="Arial" w:eastAsia="Calibri" w:hAnsi="Arial" w:cs="Arial"/>
                <w:sz w:val="20"/>
                <w:szCs w:val="20"/>
              </w:rPr>
              <w:t>Families and community involvement</w:t>
            </w:r>
          </w:p>
          <w:p>
            <w:pPr>
              <w:spacing w:after="0"/>
              <w:rPr>
                <w:rFonts w:ascii="Arial" w:eastAsia="Calibri" w:hAnsi="Arial" w:cs="Arial"/>
                <w:b/>
                <w:bCs/>
                <w:sz w:val="20"/>
                <w:szCs w:val="20"/>
              </w:rPr>
            </w:pPr>
          </w:p>
          <w:p>
            <w:pPr>
              <w:spacing w:after="0"/>
              <w:rPr>
                <w:rFonts w:ascii="Arial" w:eastAsia="Times New Roman" w:hAnsi="Arial" w:cs="Arial"/>
                <w:color w:val="000000"/>
                <w:sz w:val="20"/>
                <w:szCs w:val="20"/>
                <w:lang w:eastAsia="en-AU"/>
              </w:rPr>
            </w:pPr>
            <w:r>
              <w:rPr>
                <w:rFonts w:ascii="Arial" w:eastAsia="Calibri" w:hAnsi="Arial" w:cs="Arial"/>
                <w:b/>
                <w:bCs/>
                <w:sz w:val="20"/>
                <w:szCs w:val="20"/>
              </w:rPr>
              <w:t xml:space="preserve">Description: </w:t>
            </w:r>
            <w:r>
              <w:rPr>
                <w:rFonts w:ascii="Arial" w:eastAsia="Times New Roman" w:hAnsi="Arial" w:cs="Arial"/>
                <w:color w:val="000000"/>
                <w:sz w:val="20"/>
                <w:szCs w:val="20"/>
                <w:lang w:eastAsia="en-AU"/>
              </w:rPr>
              <w:t>There is a risk that families and communities are not informed, and involved in promoting child safety and wellbeing</w:t>
            </w:r>
          </w:p>
          <w:p>
            <w:pPr>
              <w:spacing w:after="0"/>
              <w:rPr>
                <w:rFonts w:ascii="Arial" w:eastAsia="Times New Roman" w:hAnsi="Arial" w:cs="Arial"/>
                <w:color w:val="000000"/>
                <w:sz w:val="20"/>
                <w:szCs w:val="20"/>
                <w:lang w:eastAsia="en-AU"/>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Times New Roman" w:hAnsi="Arial" w:cs="Arial"/>
                <w:color w:val="000000"/>
                <w:sz w:val="20"/>
                <w:szCs w:val="20"/>
                <w:lang w:eastAsia="en-AU"/>
              </w:rPr>
            </w:pPr>
            <w:r>
              <w:rPr>
                <w:rFonts w:ascii="Arial" w:eastAsia="Times New Roman" w:hAnsi="Arial" w:cs="Arial"/>
                <w:color w:val="000000" w:themeColor="text1"/>
                <w:sz w:val="20"/>
                <w:szCs w:val="20"/>
                <w:lang w:eastAsia="en-AU"/>
              </w:rPr>
              <w:t>Organisational</w:t>
            </w: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Unwelcoming staff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Lack of appreciation of the value of community consultation and engagement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The school does not offer information to families and communities or avenues to contribute to policies and decisions relating to child safety and wellbeing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Lack of staff training, culture or willingness to engage families and communities</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Child safety and wellbeing practices without input from families may result in practices that do not cover all the diverse needs of students, resulting in a risk that students do not feel safe or able to actively participate in school life (see Child Safe Standard 1 and 3)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Families and communities not engaged in child safety at the school are less likely to be able to support the school to reduce risk by keeping an eye out for unsafe behaviours and raising concerns.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Families cannot help students identify abuse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 xml:space="preserve">Families do not support students who want to make a complaint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If families lack awareness about child safety including risks of child abuse, children may be more vulnerable to being groomed by perpetrators seeking to obtain their trust.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Our Child Safety and Wellbeing Policy outlines the controls in place to engage families and is implemented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All child safety and wellbeing policies and procedures are publicly available and promoted in the school community</w:t>
            </w:r>
          </w:p>
          <w:p>
            <w:pPr>
              <w:numPr>
                <w:ilvl w:val="0"/>
                <w:numId w:val="5"/>
              </w:numPr>
              <w:spacing w:after="0"/>
              <w:ind w:left="133" w:hanging="133"/>
              <w:rPr>
                <w:rFonts w:ascii="Arial" w:eastAsia="Calibri" w:hAnsi="Arial" w:cs="Arial"/>
                <w:sz w:val="20"/>
                <w:szCs w:val="20"/>
                <w:lang w:val="en-GB"/>
              </w:rPr>
            </w:pPr>
            <w:r>
              <w:rPr>
                <w:rFonts w:ascii="Arial" w:eastAsia="Calibri" w:hAnsi="Arial" w:cs="Arial"/>
                <w:sz w:val="20"/>
                <w:szCs w:val="20"/>
              </w:rPr>
              <w:t>Families and the school community are invited to have a say in the development and review of child safety and wellbeing policies, procedures and practices through our school website and newsletters</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w:t>
            </w:r>
          </w:p>
        </w:tc>
        <w:tc>
          <w:tcPr>
            <w:tcW w:w="3969" w:type="dxa"/>
            <w:tcBorders>
              <w:top w:val="single" w:sz="4" w:space="0" w:color="auto"/>
              <w:bottom w:val="single" w:sz="4" w:space="0" w:color="auto"/>
            </w:tcBorders>
            <w:noWrap/>
            <w:tcMar>
              <w:right w:w="28" w:type="dxa"/>
            </w:tcMar>
          </w:tcPr>
          <w:p>
            <w:pPr>
              <w:numPr>
                <w:ilvl w:val="0"/>
                <w:numId w:val="9"/>
              </w:numPr>
              <w:spacing w:before="100" w:beforeAutospacing="1" w:after="100" w:afterAutospacing="1"/>
              <w:rPr>
                <w:rFonts w:ascii="Arial" w:eastAsia="Times New Roman" w:hAnsi="Arial" w:cs="Arial"/>
                <w:color w:val="011A3C"/>
                <w:sz w:val="20"/>
                <w:szCs w:val="20"/>
                <w:lang w:eastAsia="en-AU"/>
              </w:rPr>
            </w:pPr>
            <w:r>
              <w:rPr>
                <w:rFonts w:ascii="Arial" w:eastAsia="Calibri" w:hAnsi="Arial" w:cs="Arial"/>
                <w:sz w:val="20"/>
                <w:szCs w:val="20"/>
              </w:rPr>
              <w:t xml:space="preserve">Identify other actions your school may take using the guidance available at </w:t>
            </w:r>
            <w:hyperlink r:id="rId18" w:history="1">
              <w:r>
                <w:rPr>
                  <w:rStyle w:val="Hyperlink"/>
                  <w:rFonts w:ascii="Arial" w:eastAsia="Calibri" w:hAnsi="Arial" w:cs="Arial"/>
                  <w:sz w:val="20"/>
                  <w:szCs w:val="20"/>
                </w:rPr>
                <w:t>PROTE</w:t>
              </w:r>
              <w:r>
                <w:rPr>
                  <w:rStyle w:val="Hyperlink"/>
                  <w:rFonts w:ascii="Arial" w:eastAsia="Calibri" w:hAnsi="Arial" w:cs="Arial"/>
                  <w:sz w:val="20"/>
                  <w:szCs w:val="20"/>
                </w:rPr>
                <w:t>C</w:t>
              </w:r>
              <w:r>
                <w:rPr>
                  <w:rStyle w:val="Hyperlink"/>
                  <w:rFonts w:ascii="Arial" w:eastAsia="Calibri" w:hAnsi="Arial" w:cs="Arial"/>
                  <w:sz w:val="20"/>
                  <w:szCs w:val="20"/>
                </w:rPr>
                <w:t>T Child S</w:t>
              </w:r>
              <w:r>
                <w:rPr>
                  <w:rStyle w:val="Hyperlink"/>
                  <w:rFonts w:ascii="Arial" w:eastAsia="Calibri" w:hAnsi="Arial" w:cs="Arial"/>
                  <w:sz w:val="20"/>
                  <w:szCs w:val="20"/>
                </w:rPr>
                <w:t>a</w:t>
              </w:r>
              <w:r>
                <w:rPr>
                  <w:rStyle w:val="Hyperlink"/>
                  <w:rFonts w:ascii="Arial" w:eastAsia="Calibri" w:hAnsi="Arial" w:cs="Arial"/>
                  <w:sz w:val="20"/>
                  <w:szCs w:val="20"/>
                </w:rPr>
                <w:t>fe Standard 4</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r>
              <w:rPr>
                <w:rFonts w:ascii="Arial" w:eastAsia="Times New Roman" w:hAnsi="Arial" w:cs="Arial"/>
                <w:color w:val="011A3C"/>
                <w:sz w:val="20"/>
                <w:szCs w:val="20"/>
                <w:lang w:eastAsia="en-AU"/>
              </w:rPr>
              <w:t xml:space="preserve"> </w:t>
            </w:r>
          </w:p>
          <w:p>
            <w:pPr>
              <w:numPr>
                <w:ilvl w:val="0"/>
                <w:numId w:val="9"/>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make sure families participate in child safety and wellbeing decisions which affect their child</w:t>
            </w:r>
          </w:p>
          <w:p>
            <w:pPr>
              <w:numPr>
                <w:ilvl w:val="0"/>
                <w:numId w:val="9"/>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engage and openly communicate with families and the school community about its child safe approach</w:t>
            </w:r>
          </w:p>
          <w:p>
            <w:pPr>
              <w:numPr>
                <w:ilvl w:val="0"/>
                <w:numId w:val="9"/>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make child safety information accessible</w:t>
            </w:r>
          </w:p>
          <w:p>
            <w:pPr>
              <w:numPr>
                <w:ilvl w:val="0"/>
                <w:numId w:val="9"/>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 xml:space="preserve">involve families and the school community in developing and </w:t>
            </w:r>
            <w:r>
              <w:rPr>
                <w:rFonts w:ascii="Arial" w:eastAsia="Times New Roman" w:hAnsi="Arial" w:cs="Arial"/>
                <w:color w:val="011A3C"/>
                <w:sz w:val="20"/>
                <w:szCs w:val="20"/>
                <w:lang w:eastAsia="en-AU"/>
              </w:rPr>
              <w:lastRenderedPageBreak/>
              <w:t>reviewing child safety and wellbeing policies and practices</w:t>
            </w:r>
          </w:p>
          <w:p>
            <w:pPr>
              <w:numPr>
                <w:ilvl w:val="0"/>
                <w:numId w:val="9"/>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inform families and carers about the school’s governance and approach to child safety and wellbeing, including roles and responsibilities of school staff.</w:t>
            </w:r>
          </w:p>
          <w:p>
            <w:pPr>
              <w:numPr>
                <w:ilvl w:val="0"/>
                <w:numId w:val="5"/>
              </w:numPr>
              <w:spacing w:after="0"/>
              <w:ind w:left="133" w:hanging="133"/>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t>Child Safe Standard 5 – Equity and diverse needs</w:t>
            </w:r>
          </w:p>
        </w:tc>
      </w:tr>
      <w:tr>
        <w:trPr>
          <w:trHeight w:val="2774"/>
        </w:trPr>
        <w:tc>
          <w:tcPr>
            <w:tcW w:w="2406" w:type="dxa"/>
            <w:tcBorders>
              <w:top w:val="single" w:sz="4" w:space="0" w:color="auto"/>
              <w:bottom w:val="single" w:sz="4" w:space="0" w:color="auto"/>
            </w:tcBorders>
            <w:noWrap/>
            <w:tcMar>
              <w:right w:w="28" w:type="dxa"/>
            </w:tcMar>
          </w:tcPr>
          <w:p>
            <w:pPr>
              <w:spacing w:after="0"/>
              <w:rPr>
                <w:rFonts w:ascii="Arial" w:eastAsia="Calibri" w:hAnsi="Arial" w:cs="Arial"/>
                <w:sz w:val="20"/>
                <w:szCs w:val="20"/>
              </w:rPr>
            </w:pPr>
            <w:r>
              <w:rPr>
                <w:rFonts w:ascii="Arial" w:eastAsia="Calibri" w:hAnsi="Arial" w:cs="Arial"/>
                <w:b/>
                <w:bCs/>
                <w:sz w:val="20"/>
                <w:szCs w:val="20"/>
              </w:rPr>
              <w:t>Risk Title:</w:t>
            </w:r>
            <w:r>
              <w:rPr>
                <w:rFonts w:ascii="Arial" w:eastAsia="Calibri" w:hAnsi="Arial" w:cs="Arial"/>
                <w:sz w:val="20"/>
                <w:szCs w:val="20"/>
              </w:rPr>
              <w:t xml:space="preserve"> Diversity and equity</w:t>
            </w:r>
          </w:p>
          <w:p>
            <w:pPr>
              <w:spacing w:after="0"/>
              <w:rPr>
                <w:rFonts w:ascii="Arial" w:eastAsia="Times New Roman" w:hAnsi="Arial" w:cs="Arial"/>
                <w:color w:val="000000"/>
                <w:sz w:val="20"/>
                <w:szCs w:val="20"/>
                <w:lang w:eastAsia="en-AU"/>
              </w:rPr>
            </w:pPr>
          </w:p>
          <w:p>
            <w:pPr>
              <w:spacing w:after="0"/>
              <w:rPr>
                <w:rFonts w:ascii="Arial" w:eastAsia="Times New Roman" w:hAnsi="Arial" w:cs="Arial"/>
                <w:color w:val="000000"/>
                <w:sz w:val="20"/>
                <w:szCs w:val="20"/>
                <w:lang w:eastAsia="en-AU"/>
              </w:rPr>
            </w:pPr>
            <w:r>
              <w:rPr>
                <w:rFonts w:ascii="Arial" w:eastAsia="Calibri" w:hAnsi="Arial" w:cs="Arial"/>
                <w:b/>
                <w:bCs/>
                <w:sz w:val="20"/>
                <w:szCs w:val="20"/>
              </w:rPr>
              <w:t>Description:</w:t>
            </w:r>
            <w:r>
              <w:rPr>
                <w:rFonts w:ascii="Arial" w:eastAsia="Calibri" w:hAnsi="Arial" w:cs="Arial"/>
                <w:sz w:val="20"/>
                <w:szCs w:val="20"/>
              </w:rPr>
              <w:t xml:space="preserve"> T</w:t>
            </w:r>
            <w:r>
              <w:rPr>
                <w:rFonts w:ascii="Arial" w:eastAsia="Times New Roman" w:hAnsi="Arial" w:cs="Arial"/>
                <w:color w:val="000000"/>
                <w:sz w:val="20"/>
                <w:szCs w:val="20"/>
                <w:lang w:eastAsia="en-AU"/>
              </w:rPr>
              <w:t>here is a risk that equity is not effectively upheld, and diverse needs are not respected in policy and practice</w:t>
            </w:r>
          </w:p>
          <w:p>
            <w:pPr>
              <w:spacing w:after="0"/>
              <w:rPr>
                <w:rFonts w:ascii="Arial" w:eastAsia="Times New Roman" w:hAnsi="Arial" w:cs="Arial"/>
                <w:color w:val="000000"/>
                <w:sz w:val="20"/>
                <w:szCs w:val="20"/>
                <w:lang w:eastAsia="en-AU"/>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Times New Roman" w:hAnsi="Arial" w:cs="Arial"/>
                <w:color w:val="000000"/>
                <w:sz w:val="20"/>
                <w:szCs w:val="20"/>
                <w:lang w:eastAsia="en-AU"/>
              </w:rPr>
            </w:pPr>
            <w:r>
              <w:rPr>
                <w:rFonts w:ascii="Arial" w:eastAsia="Times New Roman" w:hAnsi="Arial" w:cs="Arial"/>
                <w:color w:val="000000" w:themeColor="text1"/>
                <w:sz w:val="20"/>
                <w:szCs w:val="20"/>
                <w:lang w:eastAsia="en-AU"/>
              </w:rPr>
              <w:t>Vulnerability</w:t>
            </w: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Diverse cohorts have not been identified for targeted support (such as students with disability, students who identify as lesbian, gay, bisexual, transgender, intersex and queer (LGBTIQ+), students in out of home care, international students and students who are culturally and linguistically diverse)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Diverse cohorts not supported adequately</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Diverse cohorts feel unwelcome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Lack of staff training on diversity and supporting and responding to vulnerable students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Lack of respectful culture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Incidents of discrimination or humiliation are not effectively addressed and managed</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Diverse cohorts who do not feel safe or who are not adequately supported for their diverse and specific needs are more at risk of abuse and harm and will be less able or willing to report concerns.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Experiencing discrimination can increase a child’s vulnerability to abuse and harm and can also mean they are less likely to ask for help or speak up if they have a concern</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Child Safety and Wellbeing Policy outlines the controls in place to support equity and diverse needs and is implemented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Student Wellbeing and Engagement Policy outlines how the school pays particular attention to the needs of students with disability, students from culturally and linguistically diverse backgrounds, students who are unable to live at home, international students, and lesbian, gay, bisexual, transgender, intersex and queer (LGBTIQ+) students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Child safety information, support and complaints processes are culturally safe, accessible and easy to understand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If your school has other documents that address diversity and equity include these here, such as:</w:t>
            </w:r>
          </w:p>
          <w:p>
            <w:pPr>
              <w:numPr>
                <w:ilvl w:val="0"/>
                <w:numId w:val="7"/>
              </w:numPr>
              <w:spacing w:after="0"/>
              <w:ind w:left="373" w:hanging="240"/>
              <w:rPr>
                <w:rFonts w:ascii="Arial" w:eastAsia="Calibri" w:hAnsi="Arial" w:cs="Arial"/>
                <w:sz w:val="20"/>
                <w:szCs w:val="20"/>
              </w:rPr>
            </w:pPr>
            <w:r>
              <w:rPr>
                <w:rFonts w:ascii="Arial" w:eastAsia="Calibri" w:hAnsi="Arial" w:cs="Arial"/>
                <w:sz w:val="20"/>
                <w:szCs w:val="20"/>
              </w:rPr>
              <w:t>Bullying Prevention Policy</w:t>
            </w:r>
          </w:p>
          <w:p>
            <w:pPr>
              <w:numPr>
                <w:ilvl w:val="0"/>
                <w:numId w:val="7"/>
              </w:numPr>
              <w:spacing w:after="0"/>
              <w:ind w:left="373" w:hanging="240"/>
              <w:rPr>
                <w:rFonts w:ascii="Arial" w:eastAsia="Calibri" w:hAnsi="Arial" w:cs="Arial"/>
                <w:sz w:val="20"/>
                <w:szCs w:val="20"/>
              </w:rPr>
            </w:pPr>
            <w:r>
              <w:rPr>
                <w:rFonts w:ascii="Arial" w:eastAsia="Calibri" w:hAnsi="Arial" w:cs="Arial"/>
                <w:sz w:val="20"/>
                <w:szCs w:val="20"/>
              </w:rPr>
              <w:t>Inclusion and Diversity Policy</w:t>
            </w:r>
          </w:p>
          <w:p>
            <w:pPr>
              <w:pStyle w:val="ListParagraph"/>
              <w:numPr>
                <w:ilvl w:val="0"/>
                <w:numId w:val="8"/>
              </w:numPr>
              <w:spacing w:before="20" w:after="20"/>
              <w:ind w:left="171" w:hanging="171"/>
              <w:contextualSpacing w:val="0"/>
              <w:rPr>
                <w:rFonts w:ascii="Arial" w:eastAsia="Calibri" w:hAnsi="Arial" w:cs="Arial"/>
                <w:sz w:val="20"/>
                <w:szCs w:val="20"/>
              </w:rPr>
            </w:pPr>
            <w:r>
              <w:rPr>
                <w:rFonts w:ascii="Arial" w:eastAsia="Calibri" w:hAnsi="Arial" w:cs="Arial"/>
                <w:sz w:val="20"/>
                <w:szCs w:val="20"/>
              </w:rPr>
              <w:t>Implement:</w:t>
            </w:r>
          </w:p>
          <w:p>
            <w:pPr>
              <w:numPr>
                <w:ilvl w:val="0"/>
                <w:numId w:val="7"/>
              </w:numPr>
              <w:spacing w:after="0"/>
              <w:ind w:left="373" w:hanging="240"/>
              <w:rPr>
                <w:rStyle w:val="Hyperlink"/>
                <w:rFonts w:ascii="Arial" w:hAnsi="Arial" w:cs="Arial"/>
                <w:color w:val="auto"/>
                <w:sz w:val="20"/>
                <w:szCs w:val="20"/>
                <w:u w:val="none"/>
              </w:rPr>
            </w:pPr>
            <w:hyperlink r:id="rId19" w:history="1">
              <w:r>
                <w:rPr>
                  <w:rStyle w:val="Hyperlink"/>
                  <w:rFonts w:ascii="Arial" w:hAnsi="Arial" w:cs="Arial"/>
                  <w:sz w:val="20"/>
                  <w:szCs w:val="20"/>
                </w:rPr>
                <w:t xml:space="preserve">Resilience, Rights and Respectful Relationships and Building Respectful Relationships teaching and learning materials </w:t>
              </w:r>
            </w:hyperlink>
            <w:r>
              <w:rPr>
                <w:rStyle w:val="Hyperlink"/>
                <w:rFonts w:ascii="Arial" w:hAnsi="Arial" w:cs="Arial"/>
                <w:sz w:val="20"/>
                <w:szCs w:val="20"/>
              </w:rPr>
              <w:t xml:space="preserve"> </w:t>
            </w:r>
          </w:p>
          <w:p>
            <w:pPr>
              <w:numPr>
                <w:ilvl w:val="0"/>
                <w:numId w:val="7"/>
              </w:numPr>
              <w:spacing w:after="0"/>
              <w:ind w:left="373" w:hanging="240"/>
              <w:rPr>
                <w:rFonts w:ascii="Arial" w:hAnsi="Arial" w:cs="Arial"/>
                <w:sz w:val="20"/>
                <w:szCs w:val="20"/>
              </w:rPr>
            </w:pPr>
            <w:r>
              <w:rPr>
                <w:rStyle w:val="Hyperlink"/>
                <w:rFonts w:ascii="Arial" w:hAnsi="Arial" w:cs="Arial"/>
                <w:sz w:val="20"/>
                <w:szCs w:val="20"/>
              </w:rPr>
              <w:t>Respectful Relationships whole school approach</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w:t>
            </w:r>
          </w:p>
        </w:tc>
        <w:tc>
          <w:tcPr>
            <w:tcW w:w="3969" w:type="dxa"/>
            <w:tcBorders>
              <w:top w:val="single" w:sz="4" w:space="0" w:color="auto"/>
              <w:bottom w:val="single" w:sz="4" w:space="0" w:color="auto"/>
            </w:tcBorders>
            <w:noWrap/>
            <w:tcMar>
              <w:right w:w="28" w:type="dxa"/>
            </w:tcMar>
          </w:tcPr>
          <w:p>
            <w:pPr>
              <w:numPr>
                <w:ilvl w:val="0"/>
                <w:numId w:val="5"/>
              </w:numPr>
              <w:spacing w:after="0"/>
              <w:rPr>
                <w:rFonts w:ascii="Arial" w:eastAsia="Times New Roman" w:hAnsi="Arial" w:cs="Arial"/>
                <w:color w:val="000000"/>
                <w:sz w:val="20"/>
                <w:szCs w:val="20"/>
                <w:lang w:eastAsia="en-AU"/>
              </w:rPr>
            </w:pPr>
            <w:r>
              <w:rPr>
                <w:rFonts w:ascii="Arial" w:eastAsia="Calibri" w:hAnsi="Arial" w:cs="Arial"/>
                <w:sz w:val="20"/>
                <w:szCs w:val="20"/>
              </w:rPr>
              <w:t xml:space="preserve">Identify other actions your school may take using the guidance available at </w:t>
            </w:r>
            <w:hyperlink r:id="rId20" w:history="1">
              <w:r>
                <w:rPr>
                  <w:rStyle w:val="Hyperlink"/>
                  <w:rFonts w:ascii="Arial" w:hAnsi="Arial" w:cs="Arial"/>
                  <w:sz w:val="20"/>
                  <w:szCs w:val="20"/>
                </w:rPr>
                <w:t>PROTECT Chi</w:t>
              </w:r>
              <w:r>
                <w:rPr>
                  <w:rStyle w:val="Hyperlink"/>
                  <w:rFonts w:ascii="Arial" w:hAnsi="Arial" w:cs="Arial"/>
                  <w:sz w:val="20"/>
                  <w:szCs w:val="20"/>
                </w:rPr>
                <w:t>l</w:t>
              </w:r>
              <w:r>
                <w:rPr>
                  <w:rStyle w:val="Hyperlink"/>
                  <w:rFonts w:ascii="Arial" w:hAnsi="Arial" w:cs="Arial"/>
                  <w:sz w:val="20"/>
                  <w:szCs w:val="20"/>
                </w:rPr>
                <w:t>d Safe Standard 5</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r</w:t>
            </w:r>
            <w:r>
              <w:rPr>
                <w:rFonts w:ascii="Arial" w:eastAsia="Times New Roman" w:hAnsi="Arial" w:cs="Arial"/>
                <w:color w:val="011A3C"/>
                <w:sz w:val="20"/>
                <w:szCs w:val="20"/>
                <w:lang w:eastAsia="en-AU"/>
              </w:rPr>
              <w:t>ecognise and respond to students’ diverse circumstances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understand that some students are at higher risk of harm than others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provide easy access to information</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adjust procedures to respond to different needs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make sure complaints processes are child-friendly, culturally safe and easy to understand.</w:t>
            </w:r>
          </w:p>
          <w:p>
            <w:pPr>
              <w:spacing w:after="0"/>
              <w:ind w:left="360"/>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0"/>
                <w:szCs w:val="20"/>
                <w:lang w:eastAsia="en-AU"/>
              </w:rPr>
            </w:pPr>
            <w:r>
              <w:rPr>
                <w:rFonts w:ascii="Arial" w:eastAsia="Times New Roman" w:hAnsi="Arial" w:cs="Arial"/>
                <w:b/>
                <w:bCs/>
                <w:color w:val="000000" w:themeColor="text1"/>
                <w:sz w:val="20"/>
                <w:szCs w:val="20"/>
                <w:lang w:eastAsia="en-AU"/>
              </w:rPr>
              <w:t>Child Safe Standard 6 – Suitable staff and volunteers</w:t>
            </w:r>
          </w:p>
        </w:tc>
      </w:tr>
      <w:tr>
        <w:trPr>
          <w:trHeight w:val="60"/>
        </w:trPr>
        <w:tc>
          <w:tcPr>
            <w:tcW w:w="2406" w:type="dxa"/>
            <w:tcBorders>
              <w:top w:val="single" w:sz="4" w:space="0" w:color="auto"/>
              <w:bottom w:val="single" w:sz="4" w:space="0" w:color="auto"/>
            </w:tcBorders>
            <w:noWrap/>
            <w:tcMar>
              <w:right w:w="28" w:type="dxa"/>
            </w:tcMar>
          </w:tcPr>
          <w:p>
            <w:pPr>
              <w:spacing w:after="0"/>
              <w:rPr>
                <w:rFonts w:ascii="Arial" w:eastAsia="Calibri" w:hAnsi="Arial" w:cs="Arial"/>
                <w:sz w:val="20"/>
                <w:szCs w:val="20"/>
              </w:rPr>
            </w:pPr>
            <w:r>
              <w:rPr>
                <w:rFonts w:ascii="Arial" w:eastAsia="Calibri" w:hAnsi="Arial" w:cs="Arial"/>
                <w:b/>
                <w:bCs/>
                <w:sz w:val="20"/>
                <w:szCs w:val="20"/>
              </w:rPr>
              <w:t>Risk Title:</w:t>
            </w:r>
            <w:r>
              <w:rPr>
                <w:rFonts w:ascii="Arial" w:eastAsia="Calibri" w:hAnsi="Arial" w:cs="Arial"/>
                <w:sz w:val="20"/>
                <w:szCs w:val="20"/>
              </w:rPr>
              <w:t xml:space="preserve"> Suitable staff (including contractors engaged by the school in child-related work)</w:t>
            </w:r>
          </w:p>
          <w:p>
            <w:pPr>
              <w:spacing w:after="0"/>
              <w:rPr>
                <w:rFonts w:ascii="Arial" w:eastAsia="Times New Roman" w:hAnsi="Arial" w:cs="Arial"/>
                <w:color w:val="000000"/>
                <w:sz w:val="20"/>
                <w:szCs w:val="20"/>
                <w:lang w:eastAsia="en-AU"/>
              </w:rPr>
            </w:pPr>
          </w:p>
          <w:p>
            <w:pPr>
              <w:spacing w:after="0"/>
              <w:rPr>
                <w:rFonts w:ascii="Arial" w:eastAsia="Times New Roman" w:hAnsi="Arial" w:cs="Arial"/>
                <w:color w:val="000000"/>
                <w:sz w:val="20"/>
                <w:szCs w:val="20"/>
                <w:lang w:eastAsia="en-AU"/>
              </w:rPr>
            </w:pPr>
            <w:r>
              <w:rPr>
                <w:rFonts w:ascii="Arial" w:eastAsia="Calibri" w:hAnsi="Arial" w:cs="Arial"/>
                <w:b/>
                <w:bCs/>
                <w:sz w:val="20"/>
                <w:szCs w:val="20"/>
              </w:rPr>
              <w:t>Description:</w:t>
            </w:r>
            <w:r>
              <w:rPr>
                <w:rFonts w:ascii="Arial" w:eastAsia="Calibri" w:hAnsi="Arial" w:cs="Arial"/>
                <w:sz w:val="20"/>
                <w:szCs w:val="20"/>
              </w:rPr>
              <w:t xml:space="preserve"> </w:t>
            </w:r>
            <w:r>
              <w:rPr>
                <w:rFonts w:ascii="Arial" w:eastAsia="Times New Roman" w:hAnsi="Arial" w:cs="Arial"/>
                <w:color w:val="000000"/>
                <w:sz w:val="20"/>
                <w:szCs w:val="20"/>
                <w:lang w:eastAsia="en-AU"/>
              </w:rPr>
              <w:t>There is a risk that staff are not suitable to work with children or effectively supported to uphold child safety and wellbeing values in practice</w:t>
            </w:r>
          </w:p>
          <w:p>
            <w:pPr>
              <w:spacing w:after="0"/>
              <w:rPr>
                <w:rFonts w:ascii="Arial" w:eastAsia="Times New Roman" w:hAnsi="Arial" w:cs="Arial"/>
                <w:color w:val="000000"/>
                <w:sz w:val="20"/>
                <w:szCs w:val="20"/>
                <w:lang w:eastAsia="en-AU"/>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Times New Roman" w:hAnsi="Arial" w:cs="Arial"/>
                <w:color w:val="000000"/>
                <w:sz w:val="20"/>
                <w:szCs w:val="20"/>
                <w:lang w:eastAsia="en-AU"/>
              </w:rPr>
            </w:pPr>
            <w:r>
              <w:rPr>
                <w:rFonts w:ascii="Arial" w:eastAsia="Times New Roman" w:hAnsi="Arial" w:cs="Arial"/>
                <w:color w:val="000000" w:themeColor="text1"/>
                <w:sz w:val="20"/>
                <w:szCs w:val="20"/>
                <w:lang w:eastAsia="en-AU"/>
              </w:rPr>
              <w:t>Organisational, Propensity</w:t>
            </w: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Poor recruitment and pre-employment screening processes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Provision of false information during recruitment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Poor management of conflicts of interest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Insufficient induction on commencement of working at school</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Inappropriate behaviour by other adults is not called out due to lack of empowerment or awareness of behaviours of concern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Insufficient promotion of the school’s commitment to child safety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Lack of child safety culture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Insufficient supervision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 xml:space="preserve">Performance management does not focus on or address concerns relating to child safety and wellbeing </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Insufficient promotion of the school’s commitment to child safety during recruitment processes may fail to deter potential predators from seeking employment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History and behaviours of concern relating to suitability to work with children are not identified resulting in increased risk of child abuse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Conflicts of interests in recruiting staff may increase the risk of other staff not reporting concerns relating to staff conduct, and where concerns are reported or identified, increased risk of them not being responded to in an objective manner with the focus on child safety and wellbeing.</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Insufficient induction results in the increased risk that staff fail to identify child safety risks and signs of harm and are </w:t>
            </w:r>
            <w:r>
              <w:rPr>
                <w:rFonts w:ascii="Arial" w:eastAsia="Calibri" w:hAnsi="Arial" w:cs="Arial"/>
                <w:sz w:val="20"/>
                <w:szCs w:val="20"/>
              </w:rPr>
              <w:lastRenderedPageBreak/>
              <w:t>unable to respond appropriately when they do identify risks of harm or when a complaint or concerns is disclosed to them.</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Insufficient supervision and performance management results in increased risk of child abuse and harm to students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Staff do not understand their role and responsibilities in promoting and supporting child safety resulting in increased risk of harm</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Our Child Safety and Wellbeing Policy outlines the controls in place:</w:t>
            </w:r>
          </w:p>
          <w:p>
            <w:pPr>
              <w:numPr>
                <w:ilvl w:val="0"/>
                <w:numId w:val="7"/>
              </w:numPr>
              <w:spacing w:after="0"/>
              <w:ind w:left="373" w:hanging="240"/>
              <w:rPr>
                <w:rFonts w:ascii="Arial" w:eastAsia="Calibri" w:hAnsi="Arial" w:cs="Arial"/>
                <w:sz w:val="20"/>
                <w:szCs w:val="20"/>
              </w:rPr>
            </w:pPr>
            <w:r>
              <w:rPr>
                <w:rFonts w:ascii="Arial" w:eastAsia="Calibri" w:hAnsi="Arial" w:cs="Arial"/>
                <w:sz w:val="20"/>
                <w:szCs w:val="20"/>
              </w:rPr>
              <w:t>for child safe recruitment and screening practices for staff.</w:t>
            </w:r>
          </w:p>
          <w:p>
            <w:pPr>
              <w:numPr>
                <w:ilvl w:val="0"/>
                <w:numId w:val="7"/>
              </w:numPr>
              <w:spacing w:after="0"/>
              <w:ind w:left="373" w:hanging="240"/>
              <w:rPr>
                <w:rFonts w:ascii="Arial" w:eastAsia="Calibri" w:hAnsi="Arial" w:cs="Arial"/>
                <w:sz w:val="20"/>
                <w:szCs w:val="20"/>
              </w:rPr>
            </w:pPr>
            <w:r>
              <w:rPr>
                <w:rFonts w:ascii="Arial" w:hAnsi="Arial" w:cs="Arial"/>
                <w:sz w:val="20"/>
                <w:szCs w:val="20"/>
                <w:lang w:val="en-GB"/>
              </w:rPr>
              <w:t xml:space="preserve">to ensure staff are provided with an appropriate induction in the </w:t>
            </w:r>
            <w:r>
              <w:rPr>
                <w:rFonts w:ascii="Arial" w:eastAsia="Calibri" w:hAnsi="Arial" w:cs="Arial"/>
                <w:sz w:val="20"/>
                <w:szCs w:val="20"/>
              </w:rPr>
              <w:t>school’s</w:t>
            </w:r>
            <w:r>
              <w:rPr>
                <w:rFonts w:ascii="Arial" w:hAnsi="Arial" w:cs="Arial"/>
                <w:sz w:val="20"/>
                <w:szCs w:val="20"/>
                <w:lang w:val="en-GB"/>
              </w:rPr>
              <w:t xml:space="preserve"> child safety policies and practices.</w:t>
            </w:r>
          </w:p>
          <w:p>
            <w:pPr>
              <w:numPr>
                <w:ilvl w:val="0"/>
                <w:numId w:val="7"/>
              </w:numPr>
              <w:spacing w:after="0"/>
              <w:ind w:left="373" w:hanging="240"/>
              <w:rPr>
                <w:rFonts w:ascii="Arial" w:eastAsia="Calibri" w:hAnsi="Arial" w:cs="Arial"/>
                <w:sz w:val="20"/>
                <w:szCs w:val="20"/>
              </w:rPr>
            </w:pPr>
            <w:r>
              <w:rPr>
                <w:rFonts w:ascii="Arial" w:eastAsia="Calibri" w:hAnsi="Arial" w:cs="Arial"/>
                <w:sz w:val="20"/>
                <w:szCs w:val="20"/>
              </w:rPr>
              <w:t>to ensure ongoing supervision and management of staff is focused on child safety and wellbeing</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All actions and strategies outlined in our Child Safety and Wellbeing Policy are implemented</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w:t>
            </w:r>
          </w:p>
        </w:tc>
        <w:tc>
          <w:tcPr>
            <w:tcW w:w="3969" w:type="dxa"/>
            <w:tcBorders>
              <w:top w:val="single" w:sz="4" w:space="0" w:color="auto"/>
              <w:bottom w:val="single" w:sz="4" w:space="0" w:color="auto"/>
            </w:tcBorders>
            <w:noWrap/>
            <w:tcMar>
              <w:right w:w="28" w:type="dxa"/>
            </w:tcMar>
          </w:tcPr>
          <w:p>
            <w:pPr>
              <w:numPr>
                <w:ilvl w:val="0"/>
                <w:numId w:val="5"/>
              </w:numPr>
              <w:spacing w:after="0"/>
              <w:rPr>
                <w:rFonts w:ascii="Arial" w:eastAsia="Times New Roman" w:hAnsi="Arial" w:cs="Arial"/>
                <w:color w:val="000000"/>
                <w:sz w:val="20"/>
                <w:szCs w:val="20"/>
                <w:lang w:eastAsia="en-AU"/>
              </w:rPr>
            </w:pPr>
            <w:r>
              <w:rPr>
                <w:rFonts w:ascii="Arial" w:eastAsia="Calibri" w:hAnsi="Arial" w:cs="Arial"/>
                <w:sz w:val="20"/>
                <w:szCs w:val="20"/>
              </w:rPr>
              <w:t xml:space="preserve">Identify other actions your school may take using the guidance available at </w:t>
            </w:r>
            <w:hyperlink r:id="rId21" w:history="1">
              <w:r>
                <w:rPr>
                  <w:rStyle w:val="Hyperlink"/>
                  <w:rFonts w:ascii="Arial" w:eastAsia="Calibri" w:hAnsi="Arial" w:cs="Arial"/>
                  <w:sz w:val="20"/>
                  <w:szCs w:val="20"/>
                </w:rPr>
                <w:t>PROTECT C</w:t>
              </w:r>
              <w:r>
                <w:rPr>
                  <w:rStyle w:val="Hyperlink"/>
                  <w:rFonts w:ascii="Arial" w:eastAsia="Calibri" w:hAnsi="Arial" w:cs="Arial"/>
                  <w:sz w:val="20"/>
                  <w:szCs w:val="20"/>
                </w:rPr>
                <w:t>h</w:t>
              </w:r>
              <w:r>
                <w:rPr>
                  <w:rStyle w:val="Hyperlink"/>
                  <w:rFonts w:ascii="Arial" w:eastAsia="Calibri" w:hAnsi="Arial" w:cs="Arial"/>
                  <w:sz w:val="20"/>
                  <w:szCs w:val="20"/>
                </w:rPr>
                <w:t>ild Safe Standard 6</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make sure job advertisements have clear statements about:</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the job’s requirements, duties and responsibilities regarding child safety and wellbeing</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the job occupant’s essential or relevant qualifications, experience and attributes in relation to child safety and wellbeing.</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advise job applicants about the child safety practices of the school, including the Code of Conduct</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lastRenderedPageBreak/>
              <w:t>make volunteers aware of the school’s Child Safety and Wellbeing Policy and Child Safety Code of Conduct</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screen school staff applicants:</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sight, verify and record a Working with Children clearance if they person is required to have one or any equivalent background checks such as Victorian Institute of Teaching registration</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collect and record proof of identify, qualifications, history of working with children and references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screen volunteers:</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sight, verify and record a Working with Children clearance if they person is required to have one of any equivalent background check</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consider the child safety risks relevant to the volunteer’s role and, if reasonable and appropriate collect and record proof of identify, qualifications, history of working with children and references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provide supervision and people management of staff and volunteers that focuses on child safety and wellbeing.</w:t>
            </w:r>
          </w:p>
          <w:p>
            <w:pPr>
              <w:numPr>
                <w:ilvl w:val="0"/>
                <w:numId w:val="5"/>
              </w:numPr>
              <w:spacing w:after="0"/>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57"/>
        </w:trPr>
        <w:tc>
          <w:tcPr>
            <w:tcW w:w="2406" w:type="dxa"/>
            <w:tcBorders>
              <w:top w:val="single" w:sz="4" w:space="0" w:color="auto"/>
              <w:bottom w:val="single" w:sz="4" w:space="0" w:color="auto"/>
            </w:tcBorders>
            <w:noWrap/>
            <w:tcMar>
              <w:right w:w="28" w:type="dxa"/>
            </w:tcMar>
          </w:tcPr>
          <w:p>
            <w:pPr>
              <w:spacing w:after="0"/>
              <w:rPr>
                <w:rFonts w:ascii="Arial" w:eastAsia="Calibri" w:hAnsi="Arial" w:cs="Arial"/>
                <w:sz w:val="20"/>
                <w:szCs w:val="20"/>
              </w:rPr>
            </w:pPr>
            <w:r>
              <w:rPr>
                <w:rFonts w:ascii="Arial" w:eastAsia="Calibri" w:hAnsi="Arial" w:cs="Arial"/>
                <w:b/>
                <w:bCs/>
                <w:sz w:val="20"/>
                <w:szCs w:val="20"/>
              </w:rPr>
              <w:t xml:space="preserve">Risk Title: </w:t>
            </w:r>
            <w:r>
              <w:rPr>
                <w:rFonts w:ascii="Arial" w:eastAsia="Calibri" w:hAnsi="Arial" w:cs="Arial"/>
                <w:sz w:val="20"/>
                <w:szCs w:val="20"/>
              </w:rPr>
              <w:t>Suitable</w:t>
            </w:r>
            <w:r>
              <w:rPr>
                <w:rFonts w:ascii="Arial" w:eastAsia="Calibri" w:hAnsi="Arial" w:cs="Arial"/>
                <w:b/>
                <w:bCs/>
                <w:sz w:val="20"/>
                <w:szCs w:val="20"/>
              </w:rPr>
              <w:t xml:space="preserve"> </w:t>
            </w:r>
            <w:r>
              <w:rPr>
                <w:rFonts w:ascii="Arial" w:eastAsia="Calibri" w:hAnsi="Arial" w:cs="Arial"/>
                <w:sz w:val="20"/>
                <w:szCs w:val="20"/>
              </w:rPr>
              <w:t xml:space="preserve">Volunteers </w:t>
            </w:r>
          </w:p>
          <w:p>
            <w:pPr>
              <w:spacing w:after="0"/>
              <w:rPr>
                <w:rFonts w:ascii="Arial" w:eastAsia="Times New Roman" w:hAnsi="Arial" w:cs="Arial"/>
                <w:color w:val="000000"/>
                <w:sz w:val="20"/>
                <w:szCs w:val="20"/>
                <w:lang w:eastAsia="en-AU"/>
              </w:rPr>
            </w:pPr>
          </w:p>
          <w:p>
            <w:pPr>
              <w:spacing w:after="0"/>
              <w:rPr>
                <w:rFonts w:ascii="Arial" w:eastAsia="Times New Roman" w:hAnsi="Arial" w:cs="Arial"/>
                <w:color w:val="000000"/>
                <w:sz w:val="20"/>
                <w:szCs w:val="20"/>
                <w:lang w:eastAsia="en-AU"/>
              </w:rPr>
            </w:pPr>
            <w:r>
              <w:rPr>
                <w:rFonts w:ascii="Arial" w:eastAsia="Calibri" w:hAnsi="Arial" w:cs="Arial"/>
                <w:b/>
                <w:bCs/>
                <w:sz w:val="20"/>
                <w:szCs w:val="20"/>
              </w:rPr>
              <w:t>Description:</w:t>
            </w:r>
            <w:r>
              <w:rPr>
                <w:rFonts w:ascii="Arial" w:eastAsia="Calibri" w:hAnsi="Arial" w:cs="Arial"/>
                <w:sz w:val="20"/>
                <w:szCs w:val="20"/>
              </w:rPr>
              <w:t xml:space="preserve"> </w:t>
            </w:r>
            <w:r>
              <w:rPr>
                <w:rFonts w:ascii="Arial" w:eastAsia="Times New Roman" w:hAnsi="Arial" w:cs="Arial"/>
                <w:color w:val="000000"/>
                <w:sz w:val="20"/>
                <w:szCs w:val="20"/>
                <w:lang w:eastAsia="en-AU"/>
              </w:rPr>
              <w:t>There is a risk that volunteers are not suitable to work with children or effectively supported to uphold child safety and wellbeing values in practice</w:t>
            </w:r>
          </w:p>
          <w:p>
            <w:pPr>
              <w:spacing w:after="0"/>
              <w:rPr>
                <w:rFonts w:ascii="Arial" w:eastAsia="Times New Roman" w:hAnsi="Arial" w:cs="Arial"/>
                <w:color w:val="000000"/>
                <w:sz w:val="20"/>
                <w:szCs w:val="20"/>
                <w:lang w:eastAsia="en-AU"/>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Times New Roman" w:hAnsi="Arial" w:cs="Arial"/>
                <w:color w:val="000000"/>
                <w:sz w:val="20"/>
                <w:szCs w:val="20"/>
                <w:lang w:eastAsia="en-AU"/>
              </w:rPr>
            </w:pPr>
            <w:r>
              <w:rPr>
                <w:rFonts w:ascii="Arial" w:eastAsia="Times New Roman" w:hAnsi="Arial" w:cs="Arial"/>
                <w:color w:val="000000" w:themeColor="text1"/>
                <w:sz w:val="20"/>
                <w:szCs w:val="20"/>
                <w:lang w:eastAsia="en-AU"/>
              </w:rPr>
              <w:t>Organisational, Propensity</w:t>
            </w:r>
          </w:p>
          <w:p>
            <w:pPr>
              <w:spacing w:after="0"/>
              <w:rPr>
                <w:rFonts w:ascii="Arial" w:eastAsia="Calibri" w:hAnsi="Arial" w:cs="Arial"/>
                <w:sz w:val="20"/>
                <w:szCs w:val="20"/>
              </w:rPr>
            </w:pP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Screening processes lack sufficient strength to reveal histories and behaviours of concern</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Systems, processes, policies and culture do not demonstrate sufficient strength and transparency to deter potential perpetrators from attempting predatory behaviours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Conflict of interest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Lack of child safety culture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Insufficient induction and training</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Insufficient supervision</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Insufficient promotion of the school’s commitment to child safety may fail to deter potential predators from volunteering at the school</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History and behaviours of concern relating to suitability to work with children are not identified resulting in increased risk of child abuse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Insufficient induction results in the increased risk that volunteers do not understand their role and responsibilities in promoting and supporting child safety resulting in increased risk of harm.</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Insufficient supervision results in increased risk of child abuse and harm to students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Inadequate steps to address concerning behaviour may result in increased risk of harm (for example removing volunteer from duties or otherwise ensuring the volunteer does not demonstrate further behaviours of concern)</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 xml:space="preserve">Volunteer Policy outlines the controls in place to ensure volunteers are suitable to work with children including screening, induction, and ongoing management and supervision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Volunteers engaged to  in regular after school sports training that may have more access to students in an unsupervised space,  volunteers who will be engaging closely with students in a school production where staff supervision may not always be present, volunteers who are not parents/carers of students will be asked to undertake additional screening processes including proof of identity (where this has not already been established), and references addressing suitability for working with children.</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Volunteers that are working with children or that may have access to students in unsupervised or high-risk settings will always be supervised by a member of school staff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Volunteer behaviour that is inconsistent with the school’s child safety and wellbeing policies and </w:t>
            </w:r>
            <w:r>
              <w:rPr>
                <w:rFonts w:ascii="Arial" w:eastAsia="Calibri" w:hAnsi="Arial" w:cs="Arial"/>
                <w:sz w:val="20"/>
                <w:szCs w:val="20"/>
              </w:rPr>
              <w:lastRenderedPageBreak/>
              <w:t xml:space="preserve">practices will be addressed by school staff swiftly and with a focus on child safety and wellbeing. </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lastRenderedPageBreak/>
              <w:t>Yes/No</w:t>
            </w:r>
          </w:p>
        </w:tc>
        <w:tc>
          <w:tcPr>
            <w:tcW w:w="3969" w:type="dxa"/>
            <w:tcBorders>
              <w:top w:val="single" w:sz="4" w:space="0" w:color="auto"/>
              <w:bottom w:val="single" w:sz="4" w:space="0" w:color="auto"/>
            </w:tcBorders>
            <w:noWrap/>
            <w:tcMar>
              <w:right w:w="28" w:type="dxa"/>
            </w:tcMar>
          </w:tcPr>
          <w:p>
            <w:pPr>
              <w:numPr>
                <w:ilvl w:val="0"/>
                <w:numId w:val="5"/>
              </w:numPr>
              <w:spacing w:after="0"/>
              <w:rPr>
                <w:rFonts w:ascii="Arial" w:eastAsia="Times New Roman" w:hAnsi="Arial" w:cs="Arial"/>
                <w:color w:val="000000"/>
                <w:sz w:val="20"/>
                <w:szCs w:val="20"/>
                <w:lang w:eastAsia="en-AU"/>
              </w:rPr>
            </w:pPr>
            <w:r>
              <w:rPr>
                <w:rFonts w:ascii="Arial" w:eastAsia="Calibri" w:hAnsi="Arial" w:cs="Arial"/>
                <w:sz w:val="20"/>
                <w:szCs w:val="20"/>
              </w:rPr>
              <w:t xml:space="preserve">Identify other actions your school may take using the guidance available at </w:t>
            </w:r>
            <w:hyperlink r:id="rId22" w:history="1">
              <w:r>
                <w:rPr>
                  <w:rStyle w:val="Hyperlink"/>
                  <w:rFonts w:ascii="Arial" w:eastAsia="Calibri" w:hAnsi="Arial" w:cs="Arial"/>
                  <w:sz w:val="20"/>
                  <w:szCs w:val="20"/>
                </w:rPr>
                <w:t>PROTECT C</w:t>
              </w:r>
              <w:r>
                <w:rPr>
                  <w:rStyle w:val="Hyperlink"/>
                  <w:rFonts w:ascii="Arial" w:eastAsia="Calibri" w:hAnsi="Arial" w:cs="Arial"/>
                  <w:sz w:val="20"/>
                  <w:szCs w:val="20"/>
                </w:rPr>
                <w:t>h</w:t>
              </w:r>
              <w:r>
                <w:rPr>
                  <w:rStyle w:val="Hyperlink"/>
                  <w:rFonts w:ascii="Arial" w:eastAsia="Calibri" w:hAnsi="Arial" w:cs="Arial"/>
                  <w:sz w:val="20"/>
                  <w:szCs w:val="20"/>
                </w:rPr>
                <w:t>ild Safe Standard 6</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provide an induction to staff, volunteers and contractors engaged in child-related work, regarding child safety and wellbeing that is appropriate to the nature of the role</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ensure that induction addresses the school’s:</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the Child Safety Code of Conduct</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the Child Safety and Wellbeing Policy</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procedures for managing complaints and concerns related to child abuse</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 xml:space="preserve">provide supervision and people management of staff and volunteers </w:t>
            </w:r>
            <w:r>
              <w:rPr>
                <w:rFonts w:ascii="Arial" w:eastAsia="Times New Roman" w:hAnsi="Arial" w:cs="Arial"/>
                <w:color w:val="011A3C"/>
                <w:sz w:val="20"/>
                <w:szCs w:val="20"/>
                <w:lang w:eastAsia="en-AU"/>
              </w:rPr>
              <w:lastRenderedPageBreak/>
              <w:t>that focuses on child safety and wellbeing.</w:t>
            </w:r>
          </w:p>
          <w:p>
            <w:pPr>
              <w:spacing w:after="0"/>
              <w:ind w:left="360"/>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t>Child Safe Standard 7 – complaints processes</w:t>
            </w:r>
          </w:p>
        </w:tc>
      </w:tr>
      <w:tr>
        <w:trPr>
          <w:trHeight w:val="70"/>
        </w:trPr>
        <w:tc>
          <w:tcPr>
            <w:tcW w:w="2406" w:type="dxa"/>
            <w:tcBorders>
              <w:top w:val="single" w:sz="4" w:space="0" w:color="auto"/>
              <w:bottom w:val="single" w:sz="4" w:space="0" w:color="auto"/>
            </w:tcBorders>
            <w:noWrap/>
            <w:tcMar>
              <w:right w:w="28" w:type="dxa"/>
            </w:tcMar>
          </w:tcPr>
          <w:p>
            <w:pPr>
              <w:spacing w:after="0"/>
              <w:rPr>
                <w:rFonts w:ascii="Arial" w:eastAsia="Calibri" w:hAnsi="Arial" w:cs="Arial"/>
                <w:color w:val="000000" w:themeColor="text1"/>
                <w:sz w:val="20"/>
                <w:szCs w:val="20"/>
              </w:rPr>
            </w:pPr>
            <w:r>
              <w:rPr>
                <w:rFonts w:ascii="Arial" w:eastAsia="Calibri" w:hAnsi="Arial" w:cs="Arial"/>
                <w:b/>
                <w:bCs/>
                <w:color w:val="000000" w:themeColor="text1"/>
                <w:sz w:val="20"/>
                <w:szCs w:val="20"/>
              </w:rPr>
              <w:t>Risk Title:</w:t>
            </w:r>
            <w:r>
              <w:rPr>
                <w:rFonts w:ascii="Arial" w:eastAsia="Calibri" w:hAnsi="Arial" w:cs="Arial"/>
                <w:color w:val="000000" w:themeColor="text1"/>
                <w:sz w:val="20"/>
                <w:szCs w:val="20"/>
              </w:rPr>
              <w:t xml:space="preserve"> Complaints processes</w:t>
            </w:r>
          </w:p>
          <w:p>
            <w:pPr>
              <w:spacing w:after="0"/>
              <w:rPr>
                <w:rFonts w:ascii="Arial" w:eastAsia="Times New Roman" w:hAnsi="Arial" w:cs="Arial"/>
                <w:color w:val="000000" w:themeColor="text1"/>
                <w:sz w:val="20"/>
                <w:szCs w:val="20"/>
                <w:lang w:eastAsia="en-AU"/>
              </w:rPr>
            </w:pPr>
          </w:p>
          <w:p>
            <w:pPr>
              <w:spacing w:after="0"/>
              <w:rPr>
                <w:rFonts w:ascii="Arial" w:eastAsia="Calibri" w:hAnsi="Arial" w:cs="Arial"/>
                <w:color w:val="000000" w:themeColor="text1"/>
                <w:sz w:val="20"/>
                <w:szCs w:val="20"/>
              </w:rPr>
            </w:pPr>
            <w:r>
              <w:rPr>
                <w:rFonts w:ascii="Arial" w:eastAsia="Calibri" w:hAnsi="Arial" w:cs="Arial"/>
                <w:b/>
                <w:bCs/>
                <w:color w:val="000000" w:themeColor="text1"/>
                <w:sz w:val="20"/>
                <w:szCs w:val="20"/>
              </w:rPr>
              <w:t>Description:</w:t>
            </w:r>
            <w:r>
              <w:rPr>
                <w:rFonts w:ascii="Arial" w:eastAsia="Calibri" w:hAnsi="Arial" w:cs="Arial"/>
                <w:color w:val="000000" w:themeColor="text1"/>
                <w:sz w:val="20"/>
                <w:szCs w:val="20"/>
              </w:rPr>
              <w:t xml:space="preserve"> There is a risk that processes for complaints and concerns are not child focused</w:t>
            </w:r>
          </w:p>
          <w:p>
            <w:pPr>
              <w:spacing w:after="0"/>
              <w:rPr>
                <w:rFonts w:ascii="Arial" w:eastAsia="Calibri" w:hAnsi="Arial" w:cs="Arial"/>
                <w:color w:val="000000" w:themeColor="text1"/>
                <w:sz w:val="20"/>
                <w:szCs w:val="20"/>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Times New Roman" w:hAnsi="Arial" w:cs="Arial"/>
                <w:color w:val="000000"/>
                <w:sz w:val="20"/>
                <w:szCs w:val="20"/>
                <w:lang w:eastAsia="en-AU"/>
              </w:rPr>
            </w:pPr>
            <w:r>
              <w:rPr>
                <w:rFonts w:ascii="Arial" w:eastAsia="Times New Roman" w:hAnsi="Arial" w:cs="Arial"/>
                <w:color w:val="000000" w:themeColor="text1"/>
                <w:sz w:val="20"/>
                <w:szCs w:val="20"/>
                <w:lang w:eastAsia="en-AU"/>
              </w:rPr>
              <w:t>Organisational, Vulnerability</w:t>
            </w: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Students and parents/carers are uncertain about how to raise a complaint or concern because information is not accessible or easily understood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Processes do not support students, parents and carers to make complaints or raise concerns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Complaints processes or responsible staff do not make students feel safe or supported to report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 input in decision making is not valued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 parent and carer concerns/complaints are not taken seriously</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Inadequate response to complaints or concerns relating to child abuse </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Failure to ensure there is accessible, culturally safe and easily understood information on how to raise a complaint or concern increases the risk of students, parents and carers not reporting behaviours of concern or abuse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Students may be unwilling to report behaviours of concern or abuse if they feel they will not be taken seriously or if they do not feel safe to report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Failure to have a clear process for responding to complaints and concerns about child abuse may result in inappropriate or insufficient action being taken resulting in continued or further harm to the child and other children</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Complaints Policy outlines the controls in place to ensure students are provided with accessible, culturally safe and easily understood information on raising a complaint or concern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Child Safety Responding and Reporting Obligations Policy and Procedures outlines the procedures for responding to complaints or concerns relating to child abuse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The Complaints Policy and Child Safety Responding and Reporting Obligations Policy and Procedures are publicly available on the school website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The Complaints Policy and Child Safety Responding and Reporting Obligations Policy and Procedures are implemented by all relevant staff</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Child Safety and Wellbeing Policy sets out all recordkeeping, privacy and information sharing obligations that must be met when responding to complaints and concerns.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All complaints and concerns are managed in accordance with employment law obligations and our school seeks advice from Employee Conduct Branch and Legal Division when dealing with complaints and concerns relating to child abuse by a member/former member of staff or school council employee or contractor</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Yes/No</w:t>
            </w:r>
          </w:p>
        </w:tc>
        <w:tc>
          <w:tcPr>
            <w:tcW w:w="3969" w:type="dxa"/>
            <w:tcBorders>
              <w:top w:val="single" w:sz="4" w:space="0" w:color="auto"/>
              <w:bottom w:val="single" w:sz="4" w:space="0" w:color="auto"/>
            </w:tcBorders>
            <w:noWrap/>
            <w:tcMar>
              <w:right w:w="28" w:type="dxa"/>
            </w:tcMar>
          </w:tcPr>
          <w:p>
            <w:pPr>
              <w:numPr>
                <w:ilvl w:val="0"/>
                <w:numId w:val="5"/>
              </w:numPr>
              <w:spacing w:after="0"/>
              <w:rPr>
                <w:rFonts w:ascii="Arial" w:eastAsia="Times New Roman" w:hAnsi="Arial" w:cs="Arial"/>
                <w:color w:val="000000"/>
                <w:sz w:val="20"/>
                <w:szCs w:val="20"/>
                <w:lang w:eastAsia="en-AU"/>
              </w:rPr>
            </w:pPr>
            <w:r>
              <w:rPr>
                <w:rFonts w:ascii="Arial" w:eastAsia="Calibri" w:hAnsi="Arial" w:cs="Arial"/>
                <w:sz w:val="20"/>
                <w:szCs w:val="20"/>
              </w:rPr>
              <w:t xml:space="preserve">Identify other actions your school may take using the guidance available at </w:t>
            </w:r>
            <w:hyperlink r:id="rId23" w:history="1">
              <w:r>
                <w:rPr>
                  <w:rStyle w:val="Hyperlink"/>
                  <w:rFonts w:ascii="Arial" w:hAnsi="Arial" w:cs="Arial"/>
                  <w:sz w:val="20"/>
                  <w:szCs w:val="20"/>
                </w:rPr>
                <w:t>PROTECT Chil</w:t>
              </w:r>
              <w:r>
                <w:rPr>
                  <w:rStyle w:val="Hyperlink"/>
                  <w:rFonts w:ascii="Arial" w:hAnsi="Arial" w:cs="Arial"/>
                  <w:sz w:val="20"/>
                  <w:szCs w:val="20"/>
                </w:rPr>
                <w:t>d</w:t>
              </w:r>
              <w:r>
                <w:rPr>
                  <w:rStyle w:val="Hyperlink"/>
                  <w:rFonts w:ascii="Arial" w:hAnsi="Arial" w:cs="Arial"/>
                  <w:sz w:val="20"/>
                  <w:szCs w:val="20"/>
                </w:rPr>
                <w:t xml:space="preserve"> Safe Standard 7</w:t>
              </w:r>
            </w:hyperlink>
            <w:r>
              <w:rPr>
                <w:rFonts w:ascii="Arial" w:eastAsia="Calibri" w:hAnsi="Arial" w:cs="Arial"/>
                <w:sz w:val="20"/>
                <w:szCs w:val="20"/>
              </w:rPr>
              <w:t xml:space="preserve">  (Principal)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complaints handling policy which</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is publicly available and accessible</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child-focused</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culturally safe and easily understood by the school community</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has information about the process for making a complaint about the school or any person within the school</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requires that complaints are taken seriously and responded to promptly and thoroughly.</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procedures for responding to complaints or concerns relating to child abuse that is:</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publicly available and accessible</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child-focused</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culturally safe and easily understood by the school community</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ensures complaints are taken seriously and responded to promptly and thoroughly</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covers all forms of child abuse</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sensitive to the characteristics of the school community</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able to address reporting of complaints and concerns to relevant authorities, whether or not the law requires reporting, and cooperate with law enforcement</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able to provide details of recordkeeping, reporting, privacy and employment law obligations to be met when responding to complaints and concerns</w:t>
            </w:r>
          </w:p>
          <w:p>
            <w:pPr>
              <w:numPr>
                <w:ilvl w:val="0"/>
                <w:numId w:val="5"/>
              </w:numPr>
              <w:spacing w:after="0"/>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0"/>
                <w:szCs w:val="20"/>
                <w:lang w:eastAsia="en-AU"/>
              </w:rPr>
            </w:pPr>
            <w:r>
              <w:rPr>
                <w:rFonts w:ascii="Arial" w:eastAsia="Times New Roman" w:hAnsi="Arial" w:cs="Arial"/>
                <w:b/>
                <w:bCs/>
                <w:color w:val="000000" w:themeColor="text1"/>
                <w:sz w:val="20"/>
                <w:szCs w:val="20"/>
                <w:lang w:eastAsia="en-AU"/>
              </w:rPr>
              <w:lastRenderedPageBreak/>
              <w:t>Child Safe Standard 8 – Child safety knowledge, skills and awareness</w:t>
            </w:r>
          </w:p>
        </w:tc>
      </w:tr>
      <w:tr>
        <w:trPr>
          <w:trHeight w:val="250"/>
        </w:trPr>
        <w:tc>
          <w:tcPr>
            <w:tcW w:w="2406" w:type="dxa"/>
            <w:tcBorders>
              <w:top w:val="single" w:sz="4" w:space="0" w:color="auto"/>
              <w:bottom w:val="single" w:sz="4" w:space="0" w:color="auto"/>
            </w:tcBorders>
            <w:noWrap/>
            <w:tcMar>
              <w:right w:w="28" w:type="dxa"/>
            </w:tcMar>
          </w:tcPr>
          <w:p>
            <w:pPr>
              <w:spacing w:after="0"/>
              <w:rPr>
                <w:rFonts w:ascii="Arial" w:eastAsia="Calibri" w:hAnsi="Arial" w:cs="Arial"/>
                <w:color w:val="000000" w:themeColor="text1"/>
                <w:sz w:val="20"/>
                <w:szCs w:val="20"/>
              </w:rPr>
            </w:pPr>
            <w:r>
              <w:rPr>
                <w:rFonts w:ascii="Arial" w:eastAsia="Calibri" w:hAnsi="Arial" w:cs="Arial"/>
                <w:b/>
                <w:bCs/>
                <w:color w:val="000000" w:themeColor="text1"/>
                <w:sz w:val="20"/>
                <w:szCs w:val="20"/>
              </w:rPr>
              <w:t>Risk Title:</w:t>
            </w:r>
            <w:r>
              <w:rPr>
                <w:rFonts w:ascii="Arial" w:eastAsia="Calibri" w:hAnsi="Arial" w:cs="Arial"/>
                <w:color w:val="000000" w:themeColor="text1"/>
                <w:sz w:val="20"/>
                <w:szCs w:val="20"/>
              </w:rPr>
              <w:t xml:space="preserve"> Knowledge, skills and awareness</w:t>
            </w:r>
          </w:p>
          <w:p>
            <w:pPr>
              <w:spacing w:after="0"/>
              <w:rPr>
                <w:rFonts w:ascii="Arial" w:eastAsia="Times New Roman" w:hAnsi="Arial" w:cs="Arial"/>
                <w:color w:val="000000" w:themeColor="text1"/>
                <w:sz w:val="20"/>
                <w:szCs w:val="20"/>
                <w:lang w:eastAsia="en-AU"/>
              </w:rPr>
            </w:pPr>
          </w:p>
          <w:p>
            <w:pPr>
              <w:spacing w:after="0"/>
              <w:rPr>
                <w:rFonts w:ascii="Arial" w:eastAsia="Calibri" w:hAnsi="Arial" w:cs="Arial"/>
                <w:color w:val="000000" w:themeColor="text1"/>
                <w:sz w:val="20"/>
                <w:szCs w:val="20"/>
              </w:rPr>
            </w:pPr>
            <w:r>
              <w:rPr>
                <w:rFonts w:ascii="Arial" w:eastAsia="Calibri" w:hAnsi="Arial" w:cs="Arial"/>
                <w:b/>
                <w:bCs/>
                <w:color w:val="000000" w:themeColor="text1"/>
                <w:sz w:val="20"/>
                <w:szCs w:val="20"/>
              </w:rPr>
              <w:t>Description:</w:t>
            </w:r>
            <w:r>
              <w:rPr>
                <w:rFonts w:ascii="Arial" w:eastAsia="Calibri" w:hAnsi="Arial" w:cs="Arial"/>
                <w:color w:val="000000" w:themeColor="text1"/>
                <w:sz w:val="20"/>
                <w:szCs w:val="20"/>
              </w:rPr>
              <w:t xml:space="preserve"> There is a risk that staff and volunteers are not equipped with the knowledge, skills and awareness to keep children and students safe through ongoing education and training</w:t>
            </w:r>
          </w:p>
          <w:p>
            <w:pPr>
              <w:spacing w:after="0"/>
              <w:rPr>
                <w:rFonts w:ascii="Arial" w:eastAsia="Calibri" w:hAnsi="Arial" w:cs="Arial"/>
                <w:color w:val="000000" w:themeColor="text1"/>
                <w:sz w:val="20"/>
                <w:szCs w:val="20"/>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Calibri" w:hAnsi="Arial" w:cs="Arial"/>
                <w:color w:val="000000" w:themeColor="text1"/>
                <w:sz w:val="20"/>
                <w:szCs w:val="20"/>
              </w:rPr>
            </w:pPr>
            <w:r>
              <w:rPr>
                <w:rFonts w:ascii="Arial" w:eastAsia="Times New Roman" w:hAnsi="Arial" w:cs="Arial"/>
                <w:color w:val="000000" w:themeColor="text1"/>
                <w:sz w:val="20"/>
                <w:szCs w:val="20"/>
                <w:lang w:eastAsia="en-AU"/>
              </w:rPr>
              <w:t>Organisational</w:t>
            </w:r>
          </w:p>
          <w:p>
            <w:pPr>
              <w:spacing w:after="0"/>
              <w:rPr>
                <w:rFonts w:ascii="Arial" w:eastAsia="Times New Roman" w:hAnsi="Arial" w:cs="Arial"/>
                <w:color w:val="000000"/>
                <w:sz w:val="20"/>
                <w:szCs w:val="20"/>
                <w:lang w:eastAsia="en-AU"/>
              </w:rPr>
            </w:pP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Child safety and wellbeing training not provided to staff and school council annually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Child safety and wellbeing training is not refreshed or updated where policy, practice or law has changed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Volunteers are not required to undertake child safety training that is appropriate to the nature of their role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Training does not cover all necessary topics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Training is poorly facilitated</w:t>
            </w:r>
          </w:p>
          <w:p>
            <w:pPr>
              <w:spacing w:after="0"/>
              <w:rPr>
                <w:rFonts w:ascii="Arial" w:eastAsia="Calibri" w:hAnsi="Arial" w:cs="Arial"/>
                <w:sz w:val="20"/>
                <w:szCs w:val="20"/>
              </w:rPr>
            </w:pPr>
          </w:p>
          <w:p>
            <w:pPr>
              <w:spacing w:after="0"/>
              <w:rPr>
                <w:rFonts w:ascii="Arial" w:eastAsia="Calibri" w:hAnsi="Arial" w:cs="Arial"/>
                <w:sz w:val="20"/>
                <w:szCs w:val="20"/>
              </w:rPr>
            </w:pPr>
            <w:r>
              <w:rPr>
                <w:rFonts w:ascii="Arial" w:eastAsia="Calibri" w:hAnsi="Arial" w:cs="Arial"/>
                <w:sz w:val="20"/>
                <w:szCs w:val="20"/>
              </w:rPr>
              <w:t>Also refer to Child Safe Standard 6 risks above</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Inability to identify child safety risks including inappropriate behaviour and signs of harm resulting in increased risk of failing to protect children from child abuse, and underreporting of child safety incidents to relevant staff and authorities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Insufficient understanding about the school’s child safety and wellbeing policies, practices, and obligations results in increased risk that they will not be appropriately implemented by staff and volunteers and an increased risk to students of child abuse occurring and of continuing to occur undetected.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Child Safety and Wellbeing Policy outlines the controls in place to ensure school council and school staff receive appropriate annual guidance and training on child safety and is implemented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Volunteers policy provides information on training for volunteers.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Volunteers that are engaged in weekly after school sports training that may have more access to students in an unsupervised space, volunteers who will be engaging closely with students in a school production where staff supervision may not always be present are provided with child safety training that is appropriate to the activity and the volunteer’s role.</w:t>
            </w:r>
          </w:p>
          <w:p>
            <w:pPr>
              <w:numPr>
                <w:ilvl w:val="0"/>
                <w:numId w:val="5"/>
              </w:numPr>
              <w:spacing w:after="0"/>
              <w:ind w:left="133" w:hanging="133"/>
              <w:rPr>
                <w:rFonts w:ascii="Arial" w:eastAsia="Calibri" w:hAnsi="Arial" w:cs="Arial"/>
                <w:sz w:val="20"/>
                <w:szCs w:val="20"/>
              </w:rPr>
            </w:pP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Yes/No</w:t>
            </w:r>
          </w:p>
        </w:tc>
        <w:tc>
          <w:tcPr>
            <w:tcW w:w="3969" w:type="dxa"/>
            <w:tcBorders>
              <w:top w:val="single" w:sz="4" w:space="0" w:color="auto"/>
              <w:bottom w:val="single" w:sz="4" w:space="0" w:color="auto"/>
            </w:tcBorders>
            <w:noWrap/>
            <w:tcMar>
              <w:right w:w="28" w:type="dxa"/>
            </w:tcMar>
          </w:tcPr>
          <w:p>
            <w:pPr>
              <w:numPr>
                <w:ilvl w:val="0"/>
                <w:numId w:val="5"/>
              </w:numPr>
              <w:spacing w:after="0"/>
              <w:rPr>
                <w:rFonts w:ascii="Arial" w:eastAsia="Times New Roman" w:hAnsi="Arial" w:cs="Arial"/>
                <w:color w:val="000000"/>
                <w:sz w:val="20"/>
                <w:szCs w:val="20"/>
                <w:lang w:eastAsia="en-AU"/>
              </w:rPr>
            </w:pPr>
            <w:r>
              <w:rPr>
                <w:rFonts w:ascii="Arial" w:eastAsia="Calibri" w:hAnsi="Arial" w:cs="Arial"/>
                <w:sz w:val="20"/>
                <w:szCs w:val="20"/>
              </w:rPr>
              <w:t xml:space="preserve">Identify other actions your school may take using the guidance available at </w:t>
            </w:r>
            <w:hyperlink r:id="rId24" w:history="1">
              <w:r>
                <w:rPr>
                  <w:rStyle w:val="Hyperlink"/>
                  <w:rFonts w:ascii="Arial" w:eastAsia="Calibri" w:hAnsi="Arial" w:cs="Arial"/>
                  <w:sz w:val="20"/>
                  <w:szCs w:val="20"/>
                </w:rPr>
                <w:t>PROTECT Chil</w:t>
              </w:r>
              <w:r>
                <w:rPr>
                  <w:rStyle w:val="Hyperlink"/>
                  <w:rFonts w:ascii="Arial" w:eastAsia="Calibri" w:hAnsi="Arial" w:cs="Arial"/>
                  <w:sz w:val="20"/>
                  <w:szCs w:val="20"/>
                </w:rPr>
                <w:t>d</w:t>
              </w:r>
              <w:r>
                <w:rPr>
                  <w:rStyle w:val="Hyperlink"/>
                  <w:rFonts w:ascii="Arial" w:eastAsia="Calibri" w:hAnsi="Arial" w:cs="Arial"/>
                  <w:sz w:val="20"/>
                  <w:szCs w:val="20"/>
                </w:rPr>
                <w:t xml:space="preserve"> Safe Standard 8</w:t>
              </w:r>
            </w:hyperlink>
            <w:r>
              <w:rPr>
                <w:rFonts w:ascii="Arial" w:eastAsia="Calibri" w:hAnsi="Arial" w:cs="Arial"/>
                <w:sz w:val="20"/>
                <w:szCs w:val="20"/>
                <w:u w:val="single"/>
              </w:rPr>
              <w:t xml:space="preserve"> </w:t>
            </w:r>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w:t>
            </w:r>
            <w:r>
              <w:rPr>
                <w:rFonts w:ascii="Arial" w:eastAsia="Times New Roman" w:hAnsi="Arial" w:cs="Arial"/>
                <w:color w:val="011A3C"/>
                <w:sz w:val="20"/>
                <w:szCs w:val="20"/>
                <w:lang w:eastAsia="en-AU"/>
              </w:rPr>
              <w:t xml:space="preserve">rovide child safety training to staff engaged in child-connected work every </w:t>
            </w:r>
            <w:r>
              <w:rPr>
                <w:rFonts w:ascii="Arial" w:eastAsia="Times New Roman" w:hAnsi="Arial" w:cs="Arial"/>
                <w:color w:val="011A3C"/>
                <w:sz w:val="20"/>
                <w:szCs w:val="20"/>
                <w:lang w:eastAsia="en-AU"/>
              </w:rPr>
              <w:t>year. This</w:t>
            </w:r>
            <w:r>
              <w:rPr>
                <w:rFonts w:ascii="Arial" w:eastAsia="Times New Roman" w:hAnsi="Arial" w:cs="Arial"/>
                <w:color w:val="011A3C"/>
                <w:sz w:val="20"/>
                <w:szCs w:val="20"/>
                <w:lang w:eastAsia="en-AU"/>
              </w:rPr>
              <w:t xml:space="preserve"> training should include:</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the Child Safety and Wellbeing Policy and the Child Safety Code of Conduct</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the procedures for responding to complaints and concerns about child abuse</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guidance on recognising indicators of child harm, including harm caused by other children and students</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guidance on responding effectively to issues of child safety and wellbeing and supporting colleagues who disclose harm</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guidance on how to build culturally safe environments for children and students</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guidance on their information sharing and recordkeeping obligations</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guidance on how to identify and mitigate child safety and wellbeing risks in the school environment without compromising a child or student’s right to privacy, access to information, social connections and learning opportunities.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Provide training and information to volunteers engaged in child-connected work that is appropriate to their role that will equip them with the knowledge, skills and awareness to keep children safe.</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Support staff and volunteers to implement the Child Safety and Wellbeing Policy and the Child Safety Code of Conduct where these policies apply to their role and responsibilities.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Provide appropriate training and guidance to the members of the governing body every year. This training should include:</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 xml:space="preserve">individual and collective obligations and responsibilities </w:t>
            </w:r>
            <w:r>
              <w:rPr>
                <w:rFonts w:ascii="Arial" w:eastAsia="Times New Roman" w:hAnsi="Arial" w:cs="Arial"/>
                <w:color w:val="011A3C"/>
                <w:sz w:val="20"/>
                <w:szCs w:val="20"/>
                <w:lang w:eastAsia="en-AU"/>
              </w:rPr>
              <w:lastRenderedPageBreak/>
              <w:t>for implementing the Child Safe Standards and managing the risk of child abuse</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child safety and wellbeing risks in the school</w:t>
            </w:r>
          </w:p>
          <w:p>
            <w:pPr>
              <w:numPr>
                <w:ilvl w:val="1"/>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the child safety policies, procedures and practices of the school.</w:t>
            </w:r>
          </w:p>
          <w:p>
            <w:pPr>
              <w:numPr>
                <w:ilvl w:val="0"/>
                <w:numId w:val="5"/>
              </w:numPr>
              <w:spacing w:after="0"/>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t>Child Safe Standard 9 – Physical and online environments</w:t>
            </w:r>
          </w:p>
        </w:tc>
      </w:tr>
      <w:tr>
        <w:trPr>
          <w:trHeight w:val="60"/>
        </w:trPr>
        <w:tc>
          <w:tcPr>
            <w:tcW w:w="240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r>
              <w:rPr>
                <w:rFonts w:ascii="Arial" w:eastAsia="Times New Roman" w:hAnsi="Arial" w:cs="Arial"/>
                <w:b/>
                <w:bCs/>
                <w:color w:val="000000"/>
                <w:sz w:val="20"/>
                <w:szCs w:val="20"/>
                <w:lang w:eastAsia="en-AU"/>
              </w:rPr>
              <w:t>Risk Title</w:t>
            </w:r>
            <w:r>
              <w:rPr>
                <w:rFonts w:ascii="Arial" w:eastAsia="Times New Roman" w:hAnsi="Arial" w:cs="Arial"/>
                <w:color w:val="000000"/>
                <w:sz w:val="20"/>
                <w:szCs w:val="20"/>
                <w:lang w:eastAsia="en-AU"/>
              </w:rPr>
              <w:t xml:space="preserve">: School physical environment </w:t>
            </w:r>
          </w:p>
          <w:p>
            <w:pPr>
              <w:spacing w:after="0"/>
              <w:rPr>
                <w:rFonts w:ascii="Arial" w:eastAsia="Times New Roman" w:hAnsi="Arial" w:cs="Arial"/>
                <w:color w:val="000000"/>
                <w:sz w:val="20"/>
                <w:szCs w:val="20"/>
                <w:lang w:eastAsia="en-AU"/>
              </w:rPr>
            </w:pPr>
          </w:p>
          <w:p>
            <w:pPr>
              <w:spacing w:after="0"/>
              <w:rPr>
                <w:rFonts w:ascii="Arial" w:eastAsia="Times New Roman" w:hAnsi="Arial" w:cs="Arial"/>
                <w:color w:val="000000"/>
                <w:sz w:val="20"/>
                <w:szCs w:val="20"/>
                <w:lang w:eastAsia="en-AU"/>
              </w:rPr>
            </w:pPr>
            <w:r>
              <w:rPr>
                <w:rFonts w:ascii="Arial" w:eastAsia="Times New Roman" w:hAnsi="Arial" w:cs="Arial"/>
                <w:b/>
                <w:bCs/>
                <w:color w:val="000000"/>
                <w:sz w:val="20"/>
                <w:szCs w:val="20"/>
                <w:lang w:eastAsia="en-AU"/>
              </w:rPr>
              <w:t>Description</w:t>
            </w:r>
            <w:r>
              <w:rPr>
                <w:rFonts w:ascii="Arial" w:eastAsia="Times New Roman" w:hAnsi="Arial" w:cs="Arial"/>
                <w:color w:val="000000"/>
                <w:sz w:val="20"/>
                <w:szCs w:val="20"/>
                <w:lang w:eastAsia="en-AU"/>
              </w:rPr>
              <w:t xml:space="preserve">: There is a risk the school’s child safety policies, procedures and practices do not adequately address and manage the risk of abuse and harm in the school’s physical environment </w:t>
            </w:r>
          </w:p>
          <w:p>
            <w:pPr>
              <w:spacing w:after="0"/>
              <w:rPr>
                <w:rFonts w:ascii="Arial" w:eastAsia="Times New Roman" w:hAnsi="Arial" w:cs="Arial"/>
                <w:color w:val="000000"/>
                <w:sz w:val="20"/>
                <w:szCs w:val="20"/>
                <w:lang w:eastAsia="en-AU"/>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Times New Roman" w:hAnsi="Arial" w:cs="Arial"/>
                <w:color w:val="000000"/>
                <w:sz w:val="20"/>
                <w:szCs w:val="20"/>
                <w:lang w:eastAsia="en-AU"/>
              </w:rPr>
            </w:pPr>
            <w:r>
              <w:rPr>
                <w:rFonts w:ascii="Arial" w:eastAsia="Times New Roman" w:hAnsi="Arial" w:cs="Arial"/>
                <w:color w:val="000000" w:themeColor="text1"/>
                <w:sz w:val="20"/>
                <w:szCs w:val="20"/>
                <w:lang w:eastAsia="en-AU"/>
              </w:rPr>
              <w:t>Situational</w:t>
            </w:r>
          </w:p>
          <w:p>
            <w:pPr>
              <w:spacing w:after="0"/>
              <w:rPr>
                <w:rFonts w:ascii="Arial" w:eastAsia="Times New Roman" w:hAnsi="Arial" w:cs="Arial"/>
                <w:color w:val="000000"/>
                <w:sz w:val="20"/>
                <w:szCs w:val="20"/>
                <w:lang w:eastAsia="en-AU"/>
              </w:rPr>
            </w:pP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Areas of child safety risk in the school buildings or grounds are not identified and appropriately supervised or managed.  </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There is an increased risk of child abuse occurring on school grounds or buildings if policies, procedures and practices fail to identify and manage areas of risk in the school’s physical environment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Yard Duty and Supervision Policy outlines supervision processes and requirements with a focus on child safety</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Yard duty staff are trained to actively patrol the school grounds, paying particular attention to secluded areas that have been identified as high risk including.</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Child safety and wellbeing policies, procedures and practices are in place to enable staff and volunteers </w:t>
            </w:r>
            <w:r>
              <w:rPr>
                <w:rFonts w:ascii="Arial" w:hAnsi="Arial" w:cs="Arial"/>
                <w:sz w:val="20"/>
                <w:szCs w:val="20"/>
              </w:rPr>
              <w:t>to identify and mitigate risks in the physical school environment without compromising a child or student’s right to privacy, access to information, social connections and learning opportunities, including our Child Safety and Wellbeing Policy and Child Safety Code of Conduct</w:t>
            </w:r>
          </w:p>
          <w:p>
            <w:pPr>
              <w:pStyle w:val="ListParagraph"/>
              <w:numPr>
                <w:ilvl w:val="0"/>
                <w:numId w:val="5"/>
              </w:numPr>
              <w:spacing w:after="0"/>
              <w:ind w:left="133" w:hanging="133"/>
              <w:rPr>
                <w:rFonts w:ascii="Arial" w:eastAsia="Calibri" w:hAnsi="Arial" w:cs="Arial"/>
                <w:sz w:val="20"/>
                <w:szCs w:val="20"/>
              </w:rPr>
            </w:pPr>
            <w:r>
              <w:rPr>
                <w:rFonts w:ascii="Arial" w:eastAsia="Calibri" w:hAnsi="Arial" w:cs="Arial"/>
                <w:sz w:val="20"/>
                <w:szCs w:val="20"/>
              </w:rPr>
              <w:t>garden sheds and store cupboards are locked unless in use, with controlled access to keys</w:t>
            </w:r>
          </w:p>
          <w:p>
            <w:pPr>
              <w:pStyle w:val="ListParagraph"/>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school grounds are well lit for after school activities </w:t>
            </w:r>
          </w:p>
          <w:p>
            <w:pPr>
              <w:pStyle w:val="ListParagraph"/>
              <w:numPr>
                <w:ilvl w:val="0"/>
                <w:numId w:val="5"/>
              </w:numPr>
              <w:spacing w:after="0"/>
              <w:ind w:left="133" w:hanging="133"/>
              <w:rPr>
                <w:rFonts w:ascii="Arial" w:eastAsia="Calibri" w:hAnsi="Arial" w:cs="Arial"/>
                <w:sz w:val="20"/>
                <w:szCs w:val="20"/>
              </w:rPr>
            </w:pPr>
            <w:r>
              <w:rPr>
                <w:rFonts w:ascii="Arial" w:eastAsia="Calibri" w:hAnsi="Arial" w:cs="Arial"/>
                <w:sz w:val="20"/>
                <w:szCs w:val="20"/>
              </w:rPr>
              <w:t>toilets and changing rooms are located in a central area of the school and the entrance and exit has good visibility from other areas of the school</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Yes/No</w:t>
            </w:r>
          </w:p>
        </w:tc>
        <w:tc>
          <w:tcPr>
            <w:tcW w:w="3969" w:type="dxa"/>
            <w:tcBorders>
              <w:top w:val="single" w:sz="4" w:space="0" w:color="auto"/>
              <w:bottom w:val="single" w:sz="4" w:space="0" w:color="auto"/>
            </w:tcBorders>
            <w:noWrap/>
            <w:tcMar>
              <w:right w:w="28" w:type="dxa"/>
            </w:tcMar>
          </w:tcPr>
          <w:p>
            <w:pPr>
              <w:numPr>
                <w:ilvl w:val="0"/>
                <w:numId w:val="5"/>
              </w:numPr>
              <w:spacing w:after="0"/>
              <w:rPr>
                <w:rFonts w:ascii="Arial" w:eastAsia="Times New Roman" w:hAnsi="Arial" w:cs="Arial"/>
                <w:color w:val="000000"/>
                <w:sz w:val="20"/>
                <w:szCs w:val="20"/>
                <w:lang w:eastAsia="en-AU"/>
              </w:rPr>
            </w:pPr>
            <w:r>
              <w:rPr>
                <w:rFonts w:ascii="Arial" w:eastAsia="Calibri" w:hAnsi="Arial" w:cs="Arial"/>
                <w:sz w:val="20"/>
                <w:szCs w:val="20"/>
              </w:rPr>
              <w:t xml:space="preserve">Identify other actions your school may take using the guidance available at </w:t>
            </w:r>
            <w:hyperlink r:id="rId25" w:history="1">
              <w:r>
                <w:rPr>
                  <w:rStyle w:val="Hyperlink"/>
                  <w:rFonts w:ascii="Arial" w:eastAsia="Calibri" w:hAnsi="Arial" w:cs="Arial"/>
                  <w:sz w:val="20"/>
                  <w:szCs w:val="20"/>
                </w:rPr>
                <w:t>PROTECT Child Safe Standard 9</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make sure child safety and wellbeing policies, procedures and practices enable school staff and volunteers to identify and mitigate risks without compromising a student’s right to privacy, access to information, social connections and learning opportunities.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develop and endorse a policy or statement on online conduct and online safety.</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develop procurement policies for facilities and services from third parties that ensure the safety of students.</w:t>
            </w:r>
          </w:p>
          <w:p>
            <w:pPr>
              <w:numPr>
                <w:ilvl w:val="0"/>
                <w:numId w:val="5"/>
              </w:numPr>
              <w:spacing w:after="0"/>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1141"/>
        </w:trPr>
        <w:tc>
          <w:tcPr>
            <w:tcW w:w="2406" w:type="dxa"/>
            <w:tcBorders>
              <w:top w:val="single" w:sz="4" w:space="0" w:color="auto"/>
              <w:bottom w:val="single" w:sz="4" w:space="0" w:color="auto"/>
            </w:tcBorders>
            <w:noWrap/>
            <w:tcMar>
              <w:right w:w="28" w:type="dxa"/>
            </w:tcMar>
          </w:tcPr>
          <w:p>
            <w:pPr>
              <w:spacing w:after="0"/>
              <w:rPr>
                <w:rFonts w:ascii="Arial" w:eastAsia="Calibri" w:hAnsi="Arial" w:cs="Arial"/>
                <w:sz w:val="20"/>
                <w:szCs w:val="20"/>
              </w:rPr>
            </w:pPr>
            <w:r>
              <w:rPr>
                <w:rFonts w:ascii="Arial" w:eastAsia="Calibri" w:hAnsi="Arial" w:cs="Arial"/>
                <w:b/>
                <w:bCs/>
                <w:sz w:val="20"/>
                <w:szCs w:val="20"/>
              </w:rPr>
              <w:t>Risk Title:</w:t>
            </w:r>
            <w:r>
              <w:rPr>
                <w:rFonts w:ascii="Arial" w:eastAsia="Calibri" w:hAnsi="Arial" w:cs="Arial"/>
                <w:sz w:val="20"/>
                <w:szCs w:val="20"/>
              </w:rPr>
              <w:t xml:space="preserve"> Online environment</w:t>
            </w:r>
          </w:p>
          <w:p>
            <w:pPr>
              <w:spacing w:after="0"/>
              <w:rPr>
                <w:rFonts w:ascii="Arial" w:eastAsia="Times New Roman" w:hAnsi="Arial" w:cs="Arial"/>
                <w:color w:val="000000"/>
                <w:sz w:val="20"/>
                <w:szCs w:val="20"/>
                <w:lang w:eastAsia="en-AU"/>
              </w:rPr>
            </w:pPr>
          </w:p>
          <w:p>
            <w:pPr>
              <w:spacing w:after="0"/>
              <w:rPr>
                <w:rFonts w:ascii="Arial" w:eastAsia="Calibri" w:hAnsi="Arial" w:cs="Arial"/>
                <w:b/>
                <w:bCs/>
                <w:color w:val="000000" w:themeColor="text1"/>
                <w:sz w:val="20"/>
                <w:szCs w:val="20"/>
              </w:rPr>
            </w:pPr>
            <w:r>
              <w:rPr>
                <w:rFonts w:ascii="Arial" w:eastAsia="Calibri" w:hAnsi="Arial" w:cs="Arial"/>
                <w:b/>
                <w:bCs/>
                <w:sz w:val="20"/>
                <w:szCs w:val="20"/>
              </w:rPr>
              <w:t>Description:</w:t>
            </w:r>
            <w:r>
              <w:rPr>
                <w:rFonts w:ascii="Arial" w:eastAsia="Times New Roman" w:hAnsi="Arial" w:cs="Arial"/>
                <w:b/>
                <w:bCs/>
                <w:color w:val="000000"/>
                <w:sz w:val="20"/>
                <w:szCs w:val="20"/>
                <w:lang w:eastAsia="en-AU"/>
              </w:rPr>
              <w:t xml:space="preserve"> </w:t>
            </w:r>
            <w:r>
              <w:rPr>
                <w:rFonts w:ascii="Arial" w:eastAsia="Times New Roman" w:hAnsi="Arial" w:cs="Arial"/>
                <w:color w:val="000000"/>
                <w:sz w:val="20"/>
                <w:szCs w:val="20"/>
                <w:lang w:eastAsia="en-AU"/>
              </w:rPr>
              <w:t>There is a risk the school’s child safety policies, procedures and practices do not adequately address and manage the risk of abuse and harm in the school’s online environmen</w:t>
            </w:r>
            <w:r>
              <w:rPr>
                <w:rFonts w:ascii="Arial" w:eastAsia="Calibri" w:hAnsi="Arial" w:cs="Arial"/>
                <w:b/>
                <w:bCs/>
                <w:color w:val="000000" w:themeColor="text1"/>
                <w:sz w:val="20"/>
                <w:szCs w:val="20"/>
              </w:rPr>
              <w:t>t</w:t>
            </w:r>
          </w:p>
          <w:p>
            <w:pPr>
              <w:spacing w:after="0"/>
              <w:rPr>
                <w:rFonts w:ascii="Arial" w:eastAsia="Calibri" w:hAnsi="Arial" w:cs="Arial"/>
                <w:b/>
                <w:bCs/>
                <w:color w:val="000000" w:themeColor="text1"/>
                <w:sz w:val="20"/>
                <w:szCs w:val="20"/>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Times New Roman" w:hAnsi="Arial" w:cs="Arial"/>
                <w:color w:val="000000"/>
                <w:sz w:val="20"/>
                <w:szCs w:val="20"/>
                <w:lang w:eastAsia="en-AU"/>
              </w:rPr>
            </w:pPr>
            <w:r>
              <w:rPr>
                <w:rFonts w:ascii="Arial" w:eastAsia="Times New Roman" w:hAnsi="Arial" w:cs="Arial"/>
                <w:color w:val="000000" w:themeColor="text1"/>
                <w:sz w:val="20"/>
                <w:szCs w:val="20"/>
                <w:lang w:eastAsia="en-AU"/>
              </w:rPr>
              <w:t>Situational</w:t>
            </w:r>
          </w:p>
          <w:p>
            <w:pPr>
              <w:spacing w:after="0"/>
              <w:rPr>
                <w:rFonts w:ascii="Arial" w:eastAsia="Calibri" w:hAnsi="Arial" w:cs="Arial"/>
                <w:b/>
                <w:bCs/>
                <w:color w:val="000000" w:themeColor="text1"/>
                <w:sz w:val="20"/>
                <w:szCs w:val="20"/>
              </w:rPr>
            </w:pP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Child safety risks in the school’s online environment are not identified and appropriately managed.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Students are not provided with education about online risks and appropriate online behaviours.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Online safety measures fail to adapt to emerging technologies and child safety risks</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There is an increased risk of child abuse occurring if policies, procedures and practices fail to identify and manage areas of risk in the school’s online environment – particularly risks relating to grooming and further risk of abuse if the grooming goes undetected.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Digital Learning Policy outlines the controls in place for online conduct and online safety and is implemented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Acceptable Use Agreements are in place and enforced</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Child safety and wellbeing policies, procedures and practices are in place to enable staff and volunteers </w:t>
            </w:r>
            <w:r>
              <w:rPr>
                <w:rFonts w:ascii="Arial" w:hAnsi="Arial" w:cs="Arial"/>
                <w:sz w:val="20"/>
                <w:szCs w:val="20"/>
              </w:rPr>
              <w:t>to identify and mitigate risks in the online school environment without compromising a child or student’s right to privacy, access to information, social connections and learning opportunities, including our Child Safety and Wellbeing Policy and Child Safety Code of Conduct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Staff undertake a privacy impact assessment for apps and other platforms in use by the school which includes the risk of access to children or personal information by people external to the school.</w:t>
            </w:r>
          </w:p>
          <w:p>
            <w:pPr>
              <w:numPr>
                <w:ilvl w:val="0"/>
                <w:numId w:val="5"/>
              </w:numPr>
              <w:spacing w:after="0"/>
              <w:ind w:left="133" w:hanging="133"/>
              <w:rPr>
                <w:rFonts w:ascii="Arial" w:eastAsia="Calibri" w:hAnsi="Arial" w:cs="Arial"/>
                <w:sz w:val="20"/>
                <w:szCs w:val="20"/>
              </w:rPr>
            </w:pP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Yes/No</w:t>
            </w:r>
          </w:p>
        </w:tc>
        <w:tc>
          <w:tcPr>
            <w:tcW w:w="3969" w:type="dxa"/>
            <w:tcBorders>
              <w:top w:val="single" w:sz="4" w:space="0" w:color="auto"/>
              <w:bottom w:val="single" w:sz="4" w:space="0" w:color="auto"/>
            </w:tcBorders>
            <w:noWrap/>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Identify other actions your school may take using the guidance available at </w:t>
            </w:r>
            <w:hyperlink r:id="rId26" w:history="1">
              <w:r>
                <w:rPr>
                  <w:rStyle w:val="Hyperlink"/>
                  <w:rFonts w:ascii="Arial" w:eastAsia="Calibri" w:hAnsi="Arial" w:cs="Arial"/>
                  <w:sz w:val="20"/>
                  <w:szCs w:val="20"/>
                </w:rPr>
                <w:t>PROTECT Child Safe Standard 9</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after="0"/>
              <w:ind w:left="133" w:hanging="133"/>
              <w:rPr>
                <w:rFonts w:ascii="Arial" w:eastAsia="Calibri" w:hAnsi="Arial" w:cs="Arial"/>
                <w:sz w:val="20"/>
                <w:szCs w:val="20"/>
              </w:rPr>
            </w:pPr>
            <w:r>
              <w:rPr>
                <w:rFonts w:ascii="Arial" w:eastAsia="Calibri" w:hAnsi="Arial" w:cs="Arial"/>
                <w:color w:val="000000"/>
                <w:sz w:val="20"/>
                <w:szCs w:val="20"/>
              </w:rPr>
              <w:t>Students, staff and parents participate in Cyber Safety Professional Learning</w:t>
            </w: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60"/>
        </w:trPr>
        <w:tc>
          <w:tcPr>
            <w:tcW w:w="2406" w:type="dxa"/>
            <w:tcBorders>
              <w:top w:val="single" w:sz="4" w:space="0" w:color="auto"/>
              <w:bottom w:val="single" w:sz="4" w:space="0" w:color="auto"/>
            </w:tcBorders>
            <w:noWrap/>
            <w:tcMar>
              <w:right w:w="28" w:type="dxa"/>
            </w:tcMar>
          </w:tcPr>
          <w:p>
            <w:pPr>
              <w:spacing w:after="0"/>
              <w:rPr>
                <w:rFonts w:ascii="Arial" w:eastAsia="Calibri" w:hAnsi="Arial" w:cs="Arial"/>
                <w:sz w:val="20"/>
                <w:szCs w:val="20"/>
              </w:rPr>
            </w:pPr>
            <w:r>
              <w:rPr>
                <w:rFonts w:ascii="Arial" w:eastAsia="Calibri" w:hAnsi="Arial" w:cs="Arial"/>
                <w:b/>
                <w:bCs/>
                <w:sz w:val="20"/>
                <w:szCs w:val="20"/>
              </w:rPr>
              <w:t>Risk Title:</w:t>
            </w:r>
            <w:r>
              <w:rPr>
                <w:rFonts w:ascii="Arial" w:eastAsia="Calibri" w:hAnsi="Arial" w:cs="Arial"/>
                <w:sz w:val="20"/>
                <w:szCs w:val="20"/>
              </w:rPr>
              <w:t xml:space="preserve"> Off-site school activities and use of third-party providers</w:t>
            </w:r>
          </w:p>
          <w:p>
            <w:pPr>
              <w:spacing w:after="0"/>
              <w:rPr>
                <w:rFonts w:ascii="Arial" w:eastAsia="Calibri" w:hAnsi="Arial" w:cs="Arial"/>
                <w:b/>
                <w:bCs/>
                <w:sz w:val="20"/>
                <w:szCs w:val="20"/>
              </w:rPr>
            </w:pPr>
          </w:p>
          <w:p>
            <w:pPr>
              <w:spacing w:after="0"/>
              <w:rPr>
                <w:rFonts w:ascii="Arial" w:eastAsia="Calibri" w:hAnsi="Arial" w:cs="Arial"/>
                <w:b/>
                <w:bCs/>
                <w:sz w:val="20"/>
                <w:szCs w:val="20"/>
              </w:rPr>
            </w:pPr>
            <w:r>
              <w:rPr>
                <w:rFonts w:ascii="Arial" w:eastAsia="Calibri" w:hAnsi="Arial" w:cs="Arial"/>
                <w:b/>
                <w:bCs/>
                <w:sz w:val="20"/>
                <w:szCs w:val="20"/>
              </w:rPr>
              <w:t xml:space="preserve">Description: </w:t>
            </w:r>
          </w:p>
          <w:p>
            <w:pPr>
              <w:spacing w:after="0"/>
              <w:rPr>
                <w:rFonts w:ascii="Arial" w:eastAsia="Calibri" w:hAnsi="Arial" w:cs="Arial"/>
                <w:b/>
                <w:bCs/>
                <w:sz w:val="20"/>
                <w:szCs w:val="20"/>
              </w:rPr>
            </w:pPr>
          </w:p>
          <w:p>
            <w:pPr>
              <w:spacing w:after="0"/>
              <w:rPr>
                <w:rFonts w:ascii="Arial" w:eastAsia="Calibri" w:hAnsi="Arial" w:cs="Arial"/>
                <w:sz w:val="20"/>
                <w:szCs w:val="20"/>
              </w:rPr>
            </w:pPr>
            <w:r>
              <w:rPr>
                <w:rFonts w:ascii="Arial" w:eastAsia="Calibri" w:hAnsi="Arial" w:cs="Arial"/>
                <w:sz w:val="20"/>
                <w:szCs w:val="20"/>
              </w:rPr>
              <w:t>There is a risk that the school’s child safety policies, procedures and practices do not adequately address and manage the risk of abuse at school activities off-site and/or school activities involving third party providers.</w:t>
            </w:r>
          </w:p>
          <w:p>
            <w:pPr>
              <w:spacing w:after="0"/>
              <w:rPr>
                <w:rFonts w:ascii="Arial" w:eastAsia="Calibri" w:hAnsi="Arial" w:cs="Arial"/>
                <w:sz w:val="20"/>
                <w:szCs w:val="20"/>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Calibri" w:hAnsi="Arial" w:cs="Arial"/>
                <w:sz w:val="20"/>
                <w:szCs w:val="20"/>
              </w:rPr>
            </w:pPr>
            <w:r>
              <w:rPr>
                <w:rFonts w:ascii="Arial" w:eastAsia="Times New Roman" w:hAnsi="Arial" w:cs="Arial"/>
                <w:color w:val="000000" w:themeColor="text1"/>
                <w:sz w:val="20"/>
                <w:szCs w:val="20"/>
                <w:lang w:eastAsia="en-AU"/>
              </w:rPr>
              <w:t>Situational, Organisational, Propensity, Vulnerability</w:t>
            </w: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School staff fail to identify and manage risks of child abuse occurring during off-site school activities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School staff fail to identify and manage risks of child abuse by third-party providers engaged by the school</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 xml:space="preserve">There is an increased risk of child abuse occurring if policies, procedures and practices fail to identify and manage areas of risk for off-site school activities and </w:t>
            </w:r>
            <w:r>
              <w:rPr>
                <w:rFonts w:ascii="Arial" w:eastAsia="Calibri" w:hAnsi="Arial" w:cs="Arial"/>
                <w:sz w:val="20"/>
                <w:szCs w:val="20"/>
              </w:rPr>
              <w:lastRenderedPageBreak/>
              <w:t xml:space="preserve">school activities that involve third party providers.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Our school complies with relevant policies with respect to the following activities, including policy relating to child safety and wellbeing:</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Government schools – [update the following list of DET policies relevant to your school’s activities] </w:t>
            </w:r>
          </w:p>
          <w:p>
            <w:pPr>
              <w:numPr>
                <w:ilvl w:val="0"/>
                <w:numId w:val="7"/>
              </w:numPr>
              <w:spacing w:after="0"/>
              <w:ind w:left="373" w:hanging="240"/>
              <w:rPr>
                <w:rFonts w:ascii="Arial" w:eastAsia="Calibri" w:hAnsi="Arial" w:cs="Arial"/>
                <w:sz w:val="20"/>
                <w:szCs w:val="20"/>
              </w:rPr>
            </w:pPr>
            <w:hyperlink r:id="rId27" w:history="1">
              <w:r>
                <w:rPr>
                  <w:rStyle w:val="Hyperlink"/>
                  <w:rFonts w:ascii="Arial" w:eastAsia="Calibri" w:hAnsi="Arial" w:cs="Arial"/>
                  <w:sz w:val="20"/>
                  <w:szCs w:val="20"/>
                </w:rPr>
                <w:t>Excursions</w:t>
              </w:r>
            </w:hyperlink>
          </w:p>
          <w:p>
            <w:pPr>
              <w:numPr>
                <w:ilvl w:val="0"/>
                <w:numId w:val="7"/>
              </w:numPr>
              <w:spacing w:after="0"/>
              <w:ind w:left="373" w:hanging="240"/>
              <w:rPr>
                <w:rFonts w:ascii="Arial" w:eastAsia="Calibri" w:hAnsi="Arial" w:cs="Arial"/>
                <w:sz w:val="20"/>
                <w:szCs w:val="20"/>
              </w:rPr>
            </w:pPr>
            <w:hyperlink r:id="rId28" w:history="1">
              <w:r>
                <w:rPr>
                  <w:rStyle w:val="Hyperlink"/>
                  <w:rFonts w:ascii="Arial" w:eastAsia="Calibri" w:hAnsi="Arial" w:cs="Arial"/>
                  <w:sz w:val="20"/>
                  <w:szCs w:val="20"/>
                </w:rPr>
                <w:t>Doctors in Secondary Schools</w:t>
              </w:r>
            </w:hyperlink>
          </w:p>
          <w:p>
            <w:pPr>
              <w:numPr>
                <w:ilvl w:val="0"/>
                <w:numId w:val="7"/>
              </w:numPr>
              <w:spacing w:after="0"/>
              <w:ind w:left="373" w:hanging="240"/>
              <w:rPr>
                <w:rFonts w:ascii="Arial" w:eastAsia="Calibri" w:hAnsi="Arial" w:cs="Arial"/>
                <w:sz w:val="20"/>
                <w:szCs w:val="20"/>
              </w:rPr>
            </w:pPr>
            <w:hyperlink r:id="rId29" w:history="1">
              <w:r>
                <w:rPr>
                  <w:rStyle w:val="Hyperlink"/>
                  <w:rFonts w:ascii="Arial" w:eastAsia="Calibri" w:hAnsi="Arial" w:cs="Arial"/>
                  <w:sz w:val="20"/>
                  <w:szCs w:val="20"/>
                </w:rPr>
                <w:t xml:space="preserve">NDIS Funded Therapy in Schools </w:t>
              </w:r>
            </w:hyperlink>
            <w:r>
              <w:rPr>
                <w:rFonts w:ascii="Arial" w:eastAsia="Calibri" w:hAnsi="Arial" w:cs="Arial"/>
                <w:sz w:val="20"/>
                <w:szCs w:val="20"/>
              </w:rPr>
              <w:t xml:space="preserve"> </w:t>
            </w:r>
          </w:p>
          <w:p>
            <w:pPr>
              <w:numPr>
                <w:ilvl w:val="0"/>
                <w:numId w:val="7"/>
              </w:numPr>
              <w:spacing w:after="0"/>
              <w:ind w:left="373" w:hanging="240"/>
              <w:rPr>
                <w:rFonts w:ascii="Arial" w:eastAsia="Calibri" w:hAnsi="Arial" w:cs="Arial"/>
                <w:sz w:val="20"/>
                <w:szCs w:val="20"/>
              </w:rPr>
            </w:pPr>
            <w:hyperlink r:id="rId30" w:history="1">
              <w:r>
                <w:rPr>
                  <w:rStyle w:val="Hyperlink"/>
                  <w:rFonts w:ascii="Arial" w:eastAsia="Calibri" w:hAnsi="Arial" w:cs="Arial"/>
                  <w:sz w:val="20"/>
                  <w:szCs w:val="20"/>
                </w:rPr>
                <w:t>Work Experience</w:t>
              </w:r>
            </w:hyperlink>
          </w:p>
          <w:p>
            <w:pPr>
              <w:numPr>
                <w:ilvl w:val="0"/>
                <w:numId w:val="7"/>
              </w:numPr>
              <w:spacing w:after="0"/>
              <w:ind w:left="373" w:hanging="240"/>
              <w:rPr>
                <w:rFonts w:ascii="Arial" w:eastAsia="Calibri" w:hAnsi="Arial" w:cs="Arial"/>
                <w:sz w:val="20"/>
                <w:szCs w:val="20"/>
              </w:rPr>
            </w:pPr>
            <w:hyperlink r:id="rId31" w:history="1">
              <w:r>
                <w:rPr>
                  <w:rStyle w:val="Hyperlink"/>
                  <w:rFonts w:ascii="Arial" w:eastAsia="Calibri" w:hAnsi="Arial" w:cs="Arial"/>
                  <w:sz w:val="20"/>
                  <w:szCs w:val="20"/>
                </w:rPr>
                <w:t>Procurement</w:t>
              </w:r>
            </w:hyperlink>
          </w:p>
          <w:p>
            <w:pPr>
              <w:numPr>
                <w:ilvl w:val="0"/>
                <w:numId w:val="7"/>
              </w:numPr>
              <w:spacing w:after="0"/>
              <w:ind w:left="373" w:hanging="240"/>
              <w:rPr>
                <w:rFonts w:ascii="Arial" w:eastAsia="Calibri" w:hAnsi="Arial" w:cs="Arial"/>
                <w:sz w:val="20"/>
                <w:szCs w:val="20"/>
              </w:rPr>
            </w:pPr>
            <w:hyperlink r:id="rId32" w:history="1">
              <w:r>
                <w:rPr>
                  <w:rStyle w:val="Hyperlink"/>
                  <w:rFonts w:ascii="Arial" w:eastAsia="Calibri" w:hAnsi="Arial" w:cs="Arial"/>
                  <w:sz w:val="20"/>
                  <w:szCs w:val="20"/>
                </w:rPr>
                <w:t>Structured Workplace Learning</w:t>
              </w:r>
            </w:hyperlink>
          </w:p>
          <w:p>
            <w:pPr>
              <w:numPr>
                <w:ilvl w:val="0"/>
                <w:numId w:val="7"/>
              </w:numPr>
              <w:spacing w:after="0"/>
              <w:ind w:left="373" w:hanging="240"/>
              <w:rPr>
                <w:rFonts w:ascii="Arial" w:eastAsia="Calibri" w:hAnsi="Arial" w:cs="Arial"/>
                <w:sz w:val="20"/>
                <w:szCs w:val="20"/>
              </w:rPr>
            </w:pPr>
            <w:hyperlink r:id="rId33" w:history="1">
              <w:r>
                <w:rPr>
                  <w:rStyle w:val="Hyperlink"/>
                  <w:rFonts w:ascii="Arial" w:eastAsia="Calibri" w:hAnsi="Arial" w:cs="Arial"/>
                  <w:sz w:val="20"/>
                  <w:szCs w:val="20"/>
                </w:rPr>
                <w:t>School Based Apprenticeships and Traineeships</w:t>
              </w:r>
            </w:hyperlink>
          </w:p>
          <w:p>
            <w:pPr>
              <w:numPr>
                <w:ilvl w:val="0"/>
                <w:numId w:val="7"/>
              </w:numPr>
              <w:spacing w:after="0"/>
              <w:ind w:left="373" w:hanging="240"/>
              <w:rPr>
                <w:rFonts w:ascii="Arial" w:eastAsia="Calibri" w:hAnsi="Arial" w:cs="Arial"/>
                <w:sz w:val="20"/>
                <w:szCs w:val="20"/>
              </w:rPr>
            </w:pPr>
            <w:hyperlink r:id="rId34" w:history="1">
              <w:r>
                <w:rPr>
                  <w:rStyle w:val="Hyperlink"/>
                  <w:rFonts w:ascii="Arial" w:eastAsia="Calibri" w:hAnsi="Arial" w:cs="Arial"/>
                  <w:sz w:val="20"/>
                  <w:szCs w:val="20"/>
                </w:rPr>
                <w:t>School Community Work</w:t>
              </w:r>
            </w:hyperlink>
          </w:p>
          <w:p>
            <w:pPr>
              <w:numPr>
                <w:ilvl w:val="0"/>
                <w:numId w:val="7"/>
              </w:numPr>
              <w:spacing w:after="0"/>
              <w:ind w:left="373" w:hanging="240"/>
              <w:rPr>
                <w:rFonts w:ascii="Arial" w:eastAsia="Calibri" w:hAnsi="Arial" w:cs="Arial"/>
                <w:sz w:val="20"/>
                <w:szCs w:val="20"/>
              </w:rPr>
            </w:pPr>
            <w:hyperlink r:id="rId35" w:history="1">
              <w:r>
                <w:rPr>
                  <w:rStyle w:val="Hyperlink"/>
                  <w:rFonts w:ascii="Arial" w:eastAsia="Calibri" w:hAnsi="Arial" w:cs="Arial"/>
                  <w:sz w:val="20"/>
                  <w:szCs w:val="20"/>
                </w:rPr>
                <w:t>Purchasing Secondary Courses and Vocational Training from External Providers</w:t>
              </w:r>
            </w:hyperlink>
          </w:p>
          <w:p>
            <w:pPr>
              <w:numPr>
                <w:ilvl w:val="0"/>
                <w:numId w:val="7"/>
              </w:numPr>
              <w:spacing w:after="0"/>
              <w:ind w:left="373" w:hanging="240"/>
              <w:rPr>
                <w:rStyle w:val="Hyperlink"/>
                <w:rFonts w:ascii="Arial" w:eastAsia="Calibri" w:hAnsi="Arial" w:cs="Arial"/>
                <w:color w:val="auto"/>
                <w:sz w:val="20"/>
                <w:szCs w:val="20"/>
                <w:u w:val="none"/>
              </w:rPr>
            </w:pPr>
            <w:hyperlink r:id="rId36" w:history="1">
              <w:r>
                <w:rPr>
                  <w:rStyle w:val="Hyperlink"/>
                  <w:rFonts w:ascii="Arial" w:eastAsia="Calibri" w:hAnsi="Arial" w:cs="Arial"/>
                  <w:sz w:val="20"/>
                  <w:szCs w:val="20"/>
                </w:rPr>
                <w:t>Community VCAL</w:t>
              </w:r>
            </w:hyperlink>
          </w:p>
          <w:p>
            <w:pPr>
              <w:numPr>
                <w:ilvl w:val="0"/>
                <w:numId w:val="7"/>
              </w:numPr>
              <w:spacing w:after="0"/>
              <w:ind w:left="373" w:hanging="240"/>
              <w:rPr>
                <w:rFonts w:ascii="Arial" w:eastAsia="Calibri" w:hAnsi="Arial" w:cs="Arial"/>
                <w:sz w:val="20"/>
                <w:szCs w:val="20"/>
              </w:rPr>
            </w:pPr>
            <w:r>
              <w:rPr>
                <w:rFonts w:ascii="Arial" w:hAnsi="Arial" w:cs="Arial"/>
                <w:sz w:val="20"/>
                <w:szCs w:val="20"/>
              </w:rPr>
              <w:t xml:space="preserve">For others, see the </w:t>
            </w:r>
            <w:hyperlink r:id="rId37" w:history="1">
              <w:r>
                <w:rPr>
                  <w:rStyle w:val="Hyperlink"/>
                  <w:rFonts w:ascii="Arial" w:hAnsi="Arial" w:cs="Arial"/>
                  <w:sz w:val="20"/>
                  <w:szCs w:val="20"/>
                </w:rPr>
                <w:t>Policy and Advisory Library</w:t>
              </w:r>
            </w:hyperlink>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For off-site school activities and school activities engaging a third-party provider, we identify and assess the risks of child abuse that are specific to that activity and ensure appropriate controls are in place. </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lastRenderedPageBreak/>
              <w:t>Yes/No</w:t>
            </w:r>
          </w:p>
        </w:tc>
        <w:tc>
          <w:tcPr>
            <w:tcW w:w="3969" w:type="dxa"/>
            <w:tcBorders>
              <w:top w:val="single" w:sz="4" w:space="0" w:color="auto"/>
              <w:bottom w:val="single" w:sz="4" w:space="0" w:color="auto"/>
            </w:tcBorders>
            <w:noWrap/>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Identify other actions the school may take using the guidance available at </w:t>
            </w:r>
            <w:hyperlink r:id="rId38" w:history="1">
              <w:r>
                <w:rPr>
                  <w:rStyle w:val="Hyperlink"/>
                  <w:rFonts w:ascii="Arial" w:eastAsia="Calibri" w:hAnsi="Arial" w:cs="Arial"/>
                  <w:sz w:val="20"/>
                  <w:szCs w:val="20"/>
                </w:rPr>
                <w:t>PROTECT Child Safe Standard 9</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t>Child Safe Standard 10 – Review of child safety practices</w:t>
            </w:r>
          </w:p>
        </w:tc>
      </w:tr>
      <w:tr>
        <w:trPr>
          <w:trHeight w:val="1141"/>
        </w:trPr>
        <w:tc>
          <w:tcPr>
            <w:tcW w:w="2406" w:type="dxa"/>
            <w:tcBorders>
              <w:top w:val="single" w:sz="4" w:space="0" w:color="auto"/>
              <w:bottom w:val="single" w:sz="4" w:space="0" w:color="auto"/>
            </w:tcBorders>
            <w:noWrap/>
            <w:tcMar>
              <w:right w:w="28" w:type="dxa"/>
            </w:tcMar>
          </w:tcPr>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 xml:space="preserve">Risk Title: </w:t>
            </w:r>
            <w:r>
              <w:rPr>
                <w:rFonts w:ascii="Arial" w:eastAsia="Calibri" w:hAnsi="Arial" w:cs="Arial"/>
                <w:color w:val="000000" w:themeColor="text1"/>
                <w:sz w:val="20"/>
                <w:szCs w:val="20"/>
              </w:rPr>
              <w:t>Review and improvement</w:t>
            </w:r>
            <w:r>
              <w:rPr>
                <w:rFonts w:ascii="Arial" w:eastAsia="Calibri" w:hAnsi="Arial" w:cs="Arial"/>
                <w:b/>
                <w:bCs/>
                <w:color w:val="000000" w:themeColor="text1"/>
                <w:sz w:val="20"/>
                <w:szCs w:val="20"/>
              </w:rPr>
              <w:t xml:space="preserve"> </w:t>
            </w:r>
          </w:p>
          <w:p>
            <w:pPr>
              <w:spacing w:after="0"/>
              <w:rPr>
                <w:rFonts w:ascii="Arial" w:eastAsia="Calibri" w:hAnsi="Arial" w:cs="Arial"/>
                <w:b/>
                <w:bCs/>
                <w:color w:val="000000" w:themeColor="text1"/>
                <w:sz w:val="20"/>
                <w:szCs w:val="20"/>
              </w:rPr>
            </w:pPr>
          </w:p>
          <w:p>
            <w:pPr>
              <w:spacing w:after="0"/>
              <w:rPr>
                <w:rFonts w:ascii="Arial" w:eastAsia="Calibri" w:hAnsi="Arial" w:cs="Arial"/>
                <w:color w:val="000000" w:themeColor="text1"/>
                <w:sz w:val="20"/>
                <w:szCs w:val="20"/>
              </w:rPr>
            </w:pPr>
            <w:r>
              <w:rPr>
                <w:rFonts w:ascii="Arial" w:eastAsia="Calibri" w:hAnsi="Arial" w:cs="Arial"/>
                <w:b/>
                <w:bCs/>
                <w:color w:val="000000" w:themeColor="text1"/>
                <w:sz w:val="20"/>
                <w:szCs w:val="20"/>
              </w:rPr>
              <w:t>Description:</w:t>
            </w:r>
            <w:r>
              <w:rPr>
                <w:rFonts w:ascii="Arial" w:eastAsia="Calibri" w:hAnsi="Arial" w:cs="Arial"/>
                <w:color w:val="000000" w:themeColor="text1"/>
                <w:sz w:val="20"/>
                <w:szCs w:val="20"/>
              </w:rPr>
              <w:t xml:space="preserve"> There is a risk that the implementation of the Child Safe Standards is not regularly reviewed and improved</w:t>
            </w:r>
          </w:p>
          <w:p>
            <w:pPr>
              <w:spacing w:after="0"/>
              <w:rPr>
                <w:rFonts w:ascii="Arial" w:eastAsia="Calibri" w:hAnsi="Arial" w:cs="Arial"/>
                <w:color w:val="000000" w:themeColor="text1"/>
                <w:sz w:val="20"/>
                <w:szCs w:val="20"/>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Calibri" w:hAnsi="Arial" w:cs="Arial"/>
                <w:b/>
                <w:sz w:val="20"/>
                <w:szCs w:val="20"/>
              </w:rPr>
            </w:pPr>
            <w:r>
              <w:rPr>
                <w:rFonts w:ascii="Arial" w:eastAsia="Times New Roman" w:hAnsi="Arial" w:cs="Arial"/>
                <w:color w:val="000000" w:themeColor="text1"/>
                <w:sz w:val="20"/>
                <w:szCs w:val="20"/>
                <w:lang w:eastAsia="en-AU"/>
              </w:rPr>
              <w:t>Organisational</w:t>
            </w: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Failure to regularly review child safety policies, procedures and practices (every 2 years) or following any significant child safety incident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Failure to use analysis of complaints, concerns and safety incidents to inform possible improvements to child safety policies, procedures and practices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Failure to inform families and communities of the outcome of reviews of child safety policies, procedures and practices</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Child safety policy, procedures and practices may become out of date with any new laws or guidance on good practice, compromising the school’s ability to protect students from child abuse and to respond appropriately to complaints and concerns.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Child safety policy, procedures and practices may no longer meet the needs of the local school community compromising the school’s ability to protect students from child abuse and to respond appropriately to complaints and concerns.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Child safety policy, procedures and practices are not improved as a result of analysis of past complaints, concerns and safety incidents, reducing the school’s ability to protect students from child abuse and to respond appropriately to complaints and concerns.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A register of the school’s policies relating to the child safe standards, including approvers and review cycles is used to support staff to maintain and update our policies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We determine the causes of child safety incidents and monitor for repeat issues or systemic failures, updating any child safety policy, procedure or practice where gaps or improvements are identified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We have a log of complaints and concerns to allow us to monitor areas for improvement in our child safety policies, procedures and practices.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We inform families through our school’s newsletter when child safety and wellbeing policies are being reviewed and ensure they are invited to provide feedback</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Yes/No</w:t>
            </w:r>
          </w:p>
        </w:tc>
        <w:tc>
          <w:tcPr>
            <w:tcW w:w="3969" w:type="dxa"/>
            <w:tcBorders>
              <w:top w:val="single" w:sz="4" w:space="0" w:color="auto"/>
              <w:bottom w:val="single" w:sz="4" w:space="0" w:color="auto"/>
            </w:tcBorders>
            <w:noWrap/>
            <w:tcMar>
              <w:right w:w="28" w:type="dxa"/>
            </w:tcMar>
          </w:tcPr>
          <w:p>
            <w:pPr>
              <w:numPr>
                <w:ilvl w:val="0"/>
                <w:numId w:val="5"/>
              </w:numPr>
              <w:spacing w:after="0"/>
              <w:rPr>
                <w:rFonts w:ascii="Arial" w:eastAsia="Calibri" w:hAnsi="Arial" w:cs="Arial"/>
                <w:sz w:val="20"/>
                <w:szCs w:val="20"/>
              </w:rPr>
            </w:pPr>
            <w:r>
              <w:rPr>
                <w:rFonts w:ascii="Arial" w:eastAsia="Calibri" w:hAnsi="Arial" w:cs="Arial"/>
                <w:sz w:val="20"/>
                <w:szCs w:val="20"/>
              </w:rPr>
              <w:t xml:space="preserve">Identify other actions the school may take using the guidance available at </w:t>
            </w:r>
            <w:hyperlink r:id="rId39" w:history="1">
              <w:r>
                <w:rPr>
                  <w:rStyle w:val="Hyperlink"/>
                  <w:rFonts w:ascii="Arial" w:eastAsia="Calibri" w:hAnsi="Arial" w:cs="Arial"/>
                  <w:sz w:val="20"/>
                  <w:szCs w:val="20"/>
                </w:rPr>
                <w:t xml:space="preserve">PROTECT Child Safe </w:t>
              </w:r>
              <w:r>
                <w:rPr>
                  <w:rStyle w:val="Hyperlink"/>
                  <w:rFonts w:ascii="Arial" w:eastAsia="Calibri" w:hAnsi="Arial" w:cs="Arial"/>
                  <w:sz w:val="20"/>
                  <w:szCs w:val="20"/>
                </w:rPr>
                <w:t>S</w:t>
              </w:r>
              <w:r>
                <w:rPr>
                  <w:rStyle w:val="Hyperlink"/>
                  <w:rFonts w:ascii="Arial" w:eastAsia="Calibri" w:hAnsi="Arial" w:cs="Arial"/>
                  <w:sz w:val="20"/>
                  <w:szCs w:val="20"/>
                </w:rPr>
                <w:t>tandard 10</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review and evaluate their </w:t>
            </w:r>
            <w:hyperlink r:id="rId40" w:history="1">
              <w:r>
                <w:rPr>
                  <w:rFonts w:ascii="Arial" w:eastAsia="Times New Roman" w:hAnsi="Arial" w:cs="Arial"/>
                  <w:color w:val="0052C2"/>
                  <w:sz w:val="20"/>
                  <w:szCs w:val="20"/>
                  <w:lang w:eastAsia="en-AU"/>
                </w:rPr>
                <w:t>child safety and wellbeing policies</w:t>
              </w:r>
            </w:hyperlink>
            <w:r>
              <w:rPr>
                <w:rFonts w:ascii="Arial" w:eastAsia="Times New Roman" w:hAnsi="Arial" w:cs="Arial"/>
                <w:color w:val="011A3C"/>
                <w:sz w:val="20"/>
                <w:szCs w:val="20"/>
                <w:lang w:eastAsia="en-AU"/>
              </w:rPr>
              <w:t>, procedures and practices after any significant child safety incident, or at least every 2 years and improve where applicable</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analyse complaints, concerns and safety incidents to identify causes and systemic failures and to inform continuous improvement</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report on the outcomes of relevant reviews to staff, volunteers, the community, families and student</w:t>
            </w:r>
          </w:p>
          <w:p>
            <w:pPr>
              <w:numPr>
                <w:ilvl w:val="0"/>
                <w:numId w:val="5"/>
              </w:numPr>
              <w:spacing w:after="0"/>
              <w:rPr>
                <w:rFonts w:ascii="Arial" w:eastAsia="Calibri" w:hAnsi="Arial" w:cs="Arial"/>
                <w:sz w:val="20"/>
                <w:szCs w:val="20"/>
              </w:rPr>
            </w:pP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tr>
        <w:trPr>
          <w:trHeight w:val="290"/>
        </w:trPr>
        <w:tc>
          <w:tcPr>
            <w:tcW w:w="21542" w:type="dxa"/>
            <w:gridSpan w:val="7"/>
            <w:tcBorders>
              <w:top w:val="nil"/>
              <w:bottom w:val="single" w:sz="4" w:space="0" w:color="auto"/>
            </w:tcBorders>
            <w:shd w:val="clear" w:color="auto" w:fill="FFC58E" w:themeFill="accent1" w:themeFillTint="66"/>
          </w:tcPr>
          <w:p>
            <w:pPr>
              <w:keepNext/>
              <w:spacing w:before="60" w:after="60"/>
              <w:rPr>
                <w:rFonts w:ascii="Arial" w:eastAsia="Times New Roman" w:hAnsi="Arial" w:cs="Arial"/>
                <w:b/>
                <w:bCs/>
                <w:color w:val="000000" w:themeColor="text1"/>
                <w:sz w:val="24"/>
                <w:szCs w:val="24"/>
                <w:lang w:eastAsia="en-AU"/>
              </w:rPr>
            </w:pPr>
            <w:r>
              <w:rPr>
                <w:rFonts w:ascii="Arial" w:eastAsia="Times New Roman" w:hAnsi="Arial" w:cs="Arial"/>
                <w:b/>
                <w:bCs/>
                <w:color w:val="000000" w:themeColor="text1"/>
                <w:sz w:val="24"/>
                <w:szCs w:val="24"/>
                <w:lang w:eastAsia="en-AU"/>
              </w:rPr>
              <w:t>Child Safe Standard 11 – Implementation of child safety practices</w:t>
            </w:r>
          </w:p>
        </w:tc>
      </w:tr>
      <w:tr>
        <w:trPr>
          <w:trHeight w:val="1141"/>
        </w:trPr>
        <w:tc>
          <w:tcPr>
            <w:tcW w:w="2406" w:type="dxa"/>
            <w:tcBorders>
              <w:top w:val="single" w:sz="4" w:space="0" w:color="auto"/>
              <w:bottom w:val="single" w:sz="4" w:space="0" w:color="auto"/>
            </w:tcBorders>
            <w:noWrap/>
            <w:tcMar>
              <w:right w:w="28" w:type="dxa"/>
            </w:tcMar>
          </w:tcPr>
          <w:p>
            <w:pPr>
              <w:spacing w:after="0"/>
              <w:rPr>
                <w:rFonts w:ascii="Arial" w:hAnsi="Arial" w:cs="Arial"/>
                <w:b/>
                <w:color w:val="000000" w:themeColor="text1"/>
                <w:sz w:val="20"/>
                <w:szCs w:val="20"/>
              </w:rPr>
            </w:pPr>
            <w:r>
              <w:rPr>
                <w:rFonts w:ascii="Arial" w:eastAsia="Calibri" w:hAnsi="Arial" w:cs="Arial"/>
                <w:b/>
                <w:bCs/>
                <w:color w:val="000000" w:themeColor="text1"/>
                <w:sz w:val="20"/>
                <w:szCs w:val="20"/>
              </w:rPr>
              <w:t xml:space="preserve">Risk Title: </w:t>
            </w:r>
            <w:r>
              <w:rPr>
                <w:rFonts w:ascii="Arial" w:hAnsi="Arial" w:cs="Arial"/>
                <w:bCs/>
                <w:color w:val="000000" w:themeColor="text1"/>
                <w:sz w:val="20"/>
                <w:szCs w:val="20"/>
              </w:rPr>
              <w:t>Policies and procedures</w:t>
            </w:r>
            <w:r>
              <w:rPr>
                <w:rFonts w:ascii="Arial" w:hAnsi="Arial" w:cs="Arial"/>
                <w:b/>
                <w:color w:val="000000" w:themeColor="text1"/>
                <w:sz w:val="20"/>
                <w:szCs w:val="20"/>
              </w:rPr>
              <w:t xml:space="preserve"> </w:t>
            </w:r>
          </w:p>
          <w:p>
            <w:pPr>
              <w:spacing w:after="0"/>
              <w:rPr>
                <w:rFonts w:ascii="Arial" w:hAnsi="Arial" w:cs="Arial"/>
                <w:b/>
                <w:color w:val="000000" w:themeColor="text1"/>
                <w:sz w:val="20"/>
                <w:szCs w:val="20"/>
              </w:rPr>
            </w:pPr>
          </w:p>
          <w:p>
            <w:pPr>
              <w:spacing w:after="0"/>
              <w:rPr>
                <w:rFonts w:ascii="Arial" w:eastAsia="Calibri" w:hAnsi="Arial" w:cs="Arial"/>
                <w:color w:val="000000" w:themeColor="text1"/>
                <w:sz w:val="20"/>
                <w:szCs w:val="20"/>
              </w:rPr>
            </w:pPr>
            <w:r>
              <w:rPr>
                <w:rFonts w:ascii="Arial" w:eastAsia="Calibri" w:hAnsi="Arial" w:cs="Arial"/>
                <w:b/>
                <w:bCs/>
                <w:color w:val="000000" w:themeColor="text1"/>
                <w:sz w:val="20"/>
                <w:szCs w:val="20"/>
              </w:rPr>
              <w:t>Description:</w:t>
            </w:r>
            <w:r>
              <w:rPr>
                <w:rFonts w:ascii="Arial" w:eastAsia="Calibri" w:hAnsi="Arial" w:cs="Arial"/>
                <w:color w:val="000000" w:themeColor="text1"/>
                <w:sz w:val="20"/>
                <w:szCs w:val="20"/>
              </w:rPr>
              <w:t xml:space="preserve"> There is a risk that policies and procedures do not effectively document how the organisation is safe for children and students and are not effectively implemented by staff and volunteers.</w:t>
            </w:r>
          </w:p>
          <w:p>
            <w:pPr>
              <w:spacing w:after="0"/>
              <w:rPr>
                <w:rFonts w:ascii="Arial" w:eastAsia="Calibri" w:hAnsi="Arial" w:cs="Arial"/>
                <w:b/>
                <w:bCs/>
                <w:color w:val="000000" w:themeColor="text1"/>
                <w:sz w:val="20"/>
                <w:szCs w:val="20"/>
              </w:rPr>
            </w:pPr>
          </w:p>
          <w:p>
            <w:pPr>
              <w:spacing w:after="0"/>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Risk type:</w:t>
            </w:r>
          </w:p>
          <w:p>
            <w:pPr>
              <w:spacing w:after="0"/>
              <w:rPr>
                <w:rFonts w:ascii="Arial" w:eastAsia="Calibri" w:hAnsi="Arial" w:cs="Arial"/>
                <w:b/>
                <w:sz w:val="20"/>
                <w:szCs w:val="20"/>
              </w:rPr>
            </w:pPr>
            <w:r>
              <w:rPr>
                <w:rFonts w:ascii="Arial" w:eastAsia="Times New Roman" w:hAnsi="Arial" w:cs="Arial"/>
                <w:color w:val="000000" w:themeColor="text1"/>
                <w:sz w:val="20"/>
                <w:szCs w:val="20"/>
                <w:lang w:eastAsia="en-AU"/>
              </w:rPr>
              <w:lastRenderedPageBreak/>
              <w:t>Organisational</w:t>
            </w:r>
          </w:p>
        </w:tc>
        <w:tc>
          <w:tcPr>
            <w:tcW w:w="3260" w:type="dxa"/>
            <w:tcBorders>
              <w:top w:val="single" w:sz="4" w:space="0" w:color="auto"/>
              <w:bottom w:val="single" w:sz="4" w:space="0" w:color="auto"/>
            </w:tcBorders>
            <w:tcMar>
              <w:right w:w="28" w:type="dxa"/>
            </w:tcMar>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 xml:space="preserve">The policies and procedures do not address all actions and measures required under the Child Safe Standards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The policies and procedures are not informed by best practice models and family and community engagement</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Staff and relevant volunteers are not provided with an adequate induction or ongoing training and are not properly supported to implement the policies and procedures due to lack of </w:t>
            </w:r>
            <w:r>
              <w:rPr>
                <w:rFonts w:ascii="Arial" w:eastAsia="Calibri" w:hAnsi="Arial" w:cs="Arial"/>
                <w:sz w:val="20"/>
                <w:szCs w:val="20"/>
              </w:rPr>
              <w:lastRenderedPageBreak/>
              <w:t>modelling and support from leaders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Policies and procedures are difficult to understand</w:t>
            </w:r>
          </w:p>
        </w:tc>
        <w:tc>
          <w:tcPr>
            <w:tcW w:w="411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If child safety policy and procedures fail to address all aspects of the Child Safe Standards it will result in gaps in protection of children and increased risk relating to child abuse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If child safety policies and procedures are not effectively documented or are difficult to understand it may result in staff (particularly new staff) being unaware of their child safety obligations, roles and responsibilities increasing the risk of child abuse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If child safety policies and procedures are not informed by best practice or family and community engagement it may result in </w:t>
            </w:r>
            <w:r>
              <w:rPr>
                <w:rFonts w:ascii="Arial" w:eastAsia="Calibri" w:hAnsi="Arial" w:cs="Arial"/>
                <w:sz w:val="20"/>
                <w:szCs w:val="20"/>
              </w:rPr>
              <w:lastRenderedPageBreak/>
              <w:t>compromised ability to protect children from child abuse.</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Failure to induct, train and support staff and relevant volunteers on implementation of child safety policies and procedures increases the risk of child abuse </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lastRenderedPageBreak/>
              <w:t>Our suite of child safety and wellbeing policies and procedures address all aspects of the Child Safe Standards</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staff and relevant volunteers are inducted and trained on our child safety and wellbeing policies, procedures and practices and are supported to implement them</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Our school leaders champion and model our child safety policies, procedures and practices and address any performance concerns relating to staff conduct or implementation</w:t>
            </w:r>
          </w:p>
          <w:p>
            <w:pPr>
              <w:numPr>
                <w:ilvl w:val="0"/>
                <w:numId w:val="5"/>
              </w:numPr>
              <w:spacing w:after="0"/>
              <w:ind w:left="133" w:hanging="133"/>
              <w:rPr>
                <w:rFonts w:ascii="Arial" w:eastAsia="Calibri" w:hAnsi="Arial" w:cs="Arial"/>
                <w:sz w:val="20"/>
                <w:szCs w:val="20"/>
              </w:rPr>
            </w:pPr>
            <w:r>
              <w:rPr>
                <w:rFonts w:ascii="Arial" w:eastAsia="Calibri" w:hAnsi="Arial" w:cs="Arial"/>
                <w:sz w:val="20"/>
                <w:szCs w:val="20"/>
              </w:rPr>
              <w:t xml:space="preserve">Our Child Safety Champion regularly reviews </w:t>
            </w:r>
            <w:hyperlink r:id="rId41" w:history="1">
              <w:r>
                <w:rPr>
                  <w:rStyle w:val="Hyperlink"/>
                  <w:rFonts w:ascii="Arial" w:eastAsia="Calibri" w:hAnsi="Arial" w:cs="Arial"/>
                  <w:sz w:val="20"/>
                  <w:szCs w:val="20"/>
                </w:rPr>
                <w:t>PROTECT guidance</w:t>
              </w:r>
            </w:hyperlink>
            <w:r>
              <w:rPr>
                <w:rFonts w:ascii="Arial" w:eastAsia="Calibri" w:hAnsi="Arial" w:cs="Arial"/>
                <w:sz w:val="20"/>
                <w:szCs w:val="20"/>
              </w:rPr>
              <w:t xml:space="preserve"> and other relevant policies to ensure our own local child safety policies, </w:t>
            </w:r>
            <w:r>
              <w:rPr>
                <w:rFonts w:ascii="Arial" w:eastAsia="Calibri" w:hAnsi="Arial" w:cs="Arial"/>
                <w:sz w:val="20"/>
                <w:szCs w:val="20"/>
              </w:rPr>
              <w:lastRenderedPageBreak/>
              <w:t>procedures and practices are informed by best practice and updated where required.</w:t>
            </w:r>
          </w:p>
        </w:tc>
        <w:tc>
          <w:tcPr>
            <w:tcW w:w="1701" w:type="dxa"/>
            <w:tcBorders>
              <w:top w:val="single" w:sz="4" w:space="0" w:color="auto"/>
              <w:bottom w:val="single" w:sz="4" w:space="0" w:color="auto"/>
            </w:tcBorders>
          </w:tcPr>
          <w:p>
            <w:pPr>
              <w:spacing w:after="0"/>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lastRenderedPageBreak/>
              <w:t>Yes/No</w:t>
            </w:r>
          </w:p>
        </w:tc>
        <w:tc>
          <w:tcPr>
            <w:tcW w:w="3969" w:type="dxa"/>
            <w:tcBorders>
              <w:top w:val="single" w:sz="4" w:space="0" w:color="auto"/>
              <w:bottom w:val="single" w:sz="4" w:space="0" w:color="auto"/>
            </w:tcBorders>
            <w:noWrap/>
            <w:tcMar>
              <w:right w:w="28" w:type="dxa"/>
            </w:tcMar>
          </w:tcPr>
          <w:p>
            <w:pPr>
              <w:numPr>
                <w:ilvl w:val="0"/>
                <w:numId w:val="5"/>
              </w:numPr>
              <w:spacing w:after="0"/>
              <w:rPr>
                <w:rFonts w:ascii="Arial" w:eastAsia="Calibri" w:hAnsi="Arial" w:cs="Arial"/>
                <w:sz w:val="20"/>
                <w:szCs w:val="20"/>
              </w:rPr>
            </w:pPr>
            <w:r>
              <w:rPr>
                <w:rFonts w:ascii="Arial" w:eastAsia="Calibri" w:hAnsi="Arial" w:cs="Arial"/>
                <w:sz w:val="20"/>
                <w:szCs w:val="20"/>
              </w:rPr>
              <w:t xml:space="preserve">Identify other actions your school may take using the guidance available at </w:t>
            </w:r>
            <w:hyperlink r:id="rId42" w:history="1">
              <w:r>
                <w:rPr>
                  <w:rStyle w:val="Hyperlink"/>
                  <w:rFonts w:ascii="Arial" w:eastAsia="Calibri" w:hAnsi="Arial" w:cs="Arial"/>
                  <w:sz w:val="20"/>
                  <w:szCs w:val="20"/>
                </w:rPr>
                <w:t>PROTECT</w:t>
              </w:r>
              <w:r>
                <w:rPr>
                  <w:rStyle w:val="Hyperlink"/>
                  <w:rFonts w:ascii="Arial" w:eastAsia="Calibri" w:hAnsi="Arial" w:cs="Arial"/>
                  <w:sz w:val="20"/>
                  <w:szCs w:val="20"/>
                </w:rPr>
                <w:t xml:space="preserve"> </w:t>
              </w:r>
              <w:r>
                <w:rPr>
                  <w:rStyle w:val="Hyperlink"/>
                  <w:rFonts w:ascii="Arial" w:eastAsia="Calibri" w:hAnsi="Arial" w:cs="Arial"/>
                  <w:sz w:val="20"/>
                  <w:szCs w:val="20"/>
                </w:rPr>
                <w:t>Child Safe Standard 11</w:t>
              </w:r>
            </w:hyperlink>
            <w:r>
              <w:rPr>
                <w:rFonts w:ascii="Arial" w:eastAsia="Calibri" w:hAnsi="Arial" w:cs="Arial"/>
                <w:sz w:val="20"/>
                <w:szCs w:val="20"/>
              </w:rPr>
              <w:t xml:space="preserve"> </w:t>
            </w:r>
            <w:r>
              <w:rPr>
                <w:rFonts w:ascii="Arial" w:eastAsia="Times New Roman" w:hAnsi="Arial" w:cs="Arial"/>
                <w:color w:val="000000"/>
                <w:sz w:val="20"/>
                <w:szCs w:val="20"/>
                <w:lang w:eastAsia="en-AU"/>
              </w:rPr>
              <w:t>(Principal)</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all the Child Safe Standards</w:t>
            </w:r>
          </w:p>
          <w:p>
            <w:pPr>
              <w:numPr>
                <w:ilvl w:val="0"/>
                <w:numId w:val="5"/>
              </w:numPr>
              <w:spacing w:before="100" w:beforeAutospacing="1" w:after="100" w:afterAutospacing="1"/>
              <w:rPr>
                <w:rFonts w:ascii="Arial" w:eastAsia="Times New Roman" w:hAnsi="Arial" w:cs="Arial"/>
                <w:color w:val="011A3C"/>
                <w:sz w:val="20"/>
                <w:szCs w:val="20"/>
                <w:lang w:eastAsia="en-AU"/>
              </w:rPr>
            </w:pPr>
            <w:r>
              <w:rPr>
                <w:rFonts w:ascii="Arial" w:eastAsia="Times New Roman" w:hAnsi="Arial" w:cs="Arial"/>
                <w:color w:val="011A3C"/>
                <w:sz w:val="20"/>
                <w:szCs w:val="20"/>
                <w:lang w:eastAsia="en-AU"/>
              </w:rPr>
              <w:t>make sure all relevant school staff, governing body and volunteers understand and implement the policies and procedures</w:t>
            </w:r>
          </w:p>
          <w:p>
            <w:pPr>
              <w:numPr>
                <w:ilvl w:val="0"/>
                <w:numId w:val="5"/>
              </w:numPr>
              <w:spacing w:before="100" w:beforeAutospacing="1" w:after="100" w:afterAutospacing="1"/>
              <w:rPr>
                <w:rFonts w:ascii="Arial" w:eastAsia="Times New Roman" w:hAnsi="Arial" w:cs="Arial"/>
                <w:color w:val="011A3C"/>
                <w:sz w:val="24"/>
                <w:lang w:eastAsia="en-AU"/>
              </w:rPr>
            </w:pPr>
            <w:r>
              <w:rPr>
                <w:rFonts w:ascii="Arial" w:eastAsia="Times New Roman" w:hAnsi="Arial" w:cs="Arial"/>
                <w:color w:val="011A3C"/>
                <w:sz w:val="20"/>
                <w:szCs w:val="20"/>
                <w:lang w:eastAsia="en-AU"/>
              </w:rPr>
              <w:t>make sure their policies and procedures are informed by best practice models and stakeholder consultation</w:t>
            </w:r>
            <w:r>
              <w:rPr>
                <w:rFonts w:ascii="Arial" w:eastAsia="Times New Roman" w:hAnsi="Arial" w:cs="Arial"/>
                <w:color w:val="011A3C"/>
                <w:sz w:val="24"/>
                <w:lang w:eastAsia="en-AU"/>
              </w:rPr>
              <w:t>.</w:t>
            </w:r>
          </w:p>
          <w:p>
            <w:pPr>
              <w:spacing w:after="0"/>
              <w:ind w:left="360"/>
              <w:rPr>
                <w:rFonts w:ascii="Arial" w:eastAsia="Calibri" w:hAnsi="Arial" w:cs="Arial"/>
                <w:sz w:val="20"/>
                <w:szCs w:val="20"/>
              </w:rPr>
            </w:pPr>
          </w:p>
        </w:tc>
        <w:tc>
          <w:tcPr>
            <w:tcW w:w="1276" w:type="dxa"/>
            <w:tcBorders>
              <w:top w:val="single" w:sz="4" w:space="0" w:color="auto"/>
              <w:bottom w:val="single" w:sz="4" w:space="0" w:color="auto"/>
            </w:tcBorders>
            <w:noWrap/>
            <w:tcMar>
              <w:right w:w="28" w:type="dxa"/>
            </w:tcMar>
          </w:tcPr>
          <w:p>
            <w:pPr>
              <w:spacing w:after="0"/>
              <w:rPr>
                <w:rFonts w:ascii="Arial" w:eastAsia="Times New Roman" w:hAnsi="Arial" w:cs="Arial"/>
                <w:color w:val="000000"/>
                <w:sz w:val="20"/>
                <w:szCs w:val="20"/>
                <w:lang w:eastAsia="en-AU"/>
              </w:rPr>
            </w:pPr>
          </w:p>
        </w:tc>
      </w:tr>
      <w:bookmarkEnd w:id="0"/>
    </w:tbl>
    <w:p/>
    <w:sectPr>
      <w:headerReference w:type="default" r:id="rId43"/>
      <w:footerReference w:type="default" r:id="rId44"/>
      <w:pgSz w:w="23811" w:h="16838"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center"/>
      <w:rPr>
        <w:b/>
        <w:bCs/>
        <w:color w:val="FF0000"/>
      </w:rPr>
    </w:pPr>
    <w:r>
      <w:rPr>
        <w:rStyle w:val="Strong"/>
        <w:color w:val="FF0000"/>
      </w:rPr>
      <w:t xml:space="preserve">Schools must tailor example content to be relevant to the school. </w:t>
    </w:r>
    <w:r>
      <w:rPr>
        <w:rStyle w:val="Strong"/>
        <w:color w:val="FF0000"/>
      </w:rPr>
      <w:br/>
      <w:t>Not tailoring the examples content may result in non-compliance with Child Safe Standard 2 and Ministerial Order 1359.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C3163"/>
    <w:multiLevelType w:val="multilevel"/>
    <w:tmpl w:val="BD2243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E157FC"/>
    <w:multiLevelType w:val="hybridMultilevel"/>
    <w:tmpl w:val="69545614"/>
    <w:lvl w:ilvl="0" w:tplc="0C090003">
      <w:start w:val="1"/>
      <w:numFmt w:val="bullet"/>
      <w:lvlText w:val="o"/>
      <w:lvlJc w:val="left"/>
      <w:pPr>
        <w:ind w:left="493" w:hanging="360"/>
      </w:pPr>
      <w:rPr>
        <w:rFonts w:ascii="Courier New" w:hAnsi="Courier New" w:cs="Courier New" w:hint="default"/>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6" w15:restartNumberingAfterBreak="0">
    <w:nsid w:val="3FB723F7"/>
    <w:multiLevelType w:val="hybridMultilevel"/>
    <w:tmpl w:val="20721228"/>
    <w:lvl w:ilvl="0" w:tplc="0C090001">
      <w:start w:val="1"/>
      <w:numFmt w:val="bullet"/>
      <w:lvlText w:val=""/>
      <w:lvlJc w:val="left"/>
      <w:pPr>
        <w:ind w:left="531" w:hanging="360"/>
      </w:pPr>
      <w:rPr>
        <w:rFonts w:ascii="Symbol" w:hAnsi="Symbol" w:hint="default"/>
      </w:rPr>
    </w:lvl>
    <w:lvl w:ilvl="1" w:tplc="CBF63A46">
      <w:numFmt w:val="bullet"/>
      <w:lvlText w:val=""/>
      <w:lvlJc w:val="left"/>
      <w:pPr>
        <w:ind w:left="1251" w:hanging="360"/>
      </w:pPr>
      <w:rPr>
        <w:rFonts w:ascii="Wingdings" w:eastAsiaTheme="minorHAnsi" w:hAnsi="Wingdings" w:cstheme="minorBidi" w:hint="default"/>
      </w:rPr>
    </w:lvl>
    <w:lvl w:ilvl="2" w:tplc="0C090005">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7" w15:restartNumberingAfterBreak="0">
    <w:nsid w:val="45300C1A"/>
    <w:multiLevelType w:val="hybridMultilevel"/>
    <w:tmpl w:val="E070C640"/>
    <w:lvl w:ilvl="0" w:tplc="0C090001">
      <w:start w:val="1"/>
      <w:numFmt w:val="bullet"/>
      <w:lvlText w:val=""/>
      <w:lvlJc w:val="left"/>
      <w:pPr>
        <w:ind w:left="360" w:hanging="360"/>
      </w:pPr>
      <w:rPr>
        <w:rFonts w:ascii="Symbol" w:hAnsi="Symbol" w:hint="default"/>
      </w:rPr>
    </w:lvl>
    <w:lvl w:ilvl="1" w:tplc="7904F2CA">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746688">
    <w:abstractNumId w:val="5"/>
  </w:num>
  <w:num w:numId="2" w16cid:durableId="1591963915">
    <w:abstractNumId w:val="8"/>
  </w:num>
  <w:num w:numId="3" w16cid:durableId="408506777">
    <w:abstractNumId w:val="3"/>
  </w:num>
  <w:num w:numId="4" w16cid:durableId="54402446">
    <w:abstractNumId w:val="4"/>
  </w:num>
  <w:num w:numId="5" w16cid:durableId="1904371846">
    <w:abstractNumId w:val="7"/>
  </w:num>
  <w:num w:numId="6" w16cid:durableId="2062974271">
    <w:abstractNumId w:val="0"/>
  </w:num>
  <w:num w:numId="7" w16cid:durableId="796528102">
    <w:abstractNumId w:val="2"/>
  </w:num>
  <w:num w:numId="8" w16cid:durableId="895429076">
    <w:abstractNumId w:val="6"/>
  </w:num>
  <w:num w:numId="9" w16cid:durableId="167780824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20"/>
    </w:pPr>
    <w:rPr>
      <w:sz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pPr>
      <w:spacing w:before="120"/>
      <w:ind w:left="284" w:right="284"/>
    </w:pPr>
    <w:rPr>
      <w:i/>
      <w:iCs/>
      <w:color w:val="000000" w:themeColor="text2"/>
    </w:rPr>
  </w:style>
  <w:style w:type="character" w:customStyle="1" w:styleId="QuoteChar">
    <w:name w:val="Quote Char"/>
    <w:basedOn w:val="DefaultParagraphFont"/>
    <w:link w:val="Quote"/>
    <w:uiPriority w:val="29"/>
    <w:rPr>
      <w:i/>
      <w:iCs/>
      <w:color w:val="000000" w:themeColor="text2"/>
    </w:rPr>
  </w:style>
  <w:style w:type="paragraph" w:customStyle="1" w:styleId="Bullet1">
    <w:name w:val="Bullet 1"/>
    <w:basedOn w:val="Normal"/>
    <w:next w:val="Normal"/>
    <w:qFormat/>
    <w:pPr>
      <w:numPr>
        <w:numId w:val="2"/>
      </w:numPr>
    </w:pPr>
    <w:rPr>
      <w:lang w:val="en-AU"/>
    </w:rPr>
  </w:style>
  <w:style w:type="paragraph" w:customStyle="1" w:styleId="Bullet2">
    <w:name w:val="Bullet 2"/>
    <w:basedOn w:val="Bullet1"/>
    <w:qFormat/>
    <w:pPr>
      <w:numPr>
        <w:numId w:val="1"/>
      </w:numPr>
    </w:pPr>
  </w:style>
  <w:style w:type="paragraph" w:customStyle="1" w:styleId="Numberlist">
    <w:name w:val="Number list"/>
    <w:basedOn w:val="Normal"/>
    <w:next w:val="Normal"/>
    <w:qFormat/>
    <w:pPr>
      <w:numPr>
        <w:numId w:val="4"/>
      </w:numPr>
      <w:ind w:left="284" w:hanging="284"/>
    </w:pPr>
    <w:rPr>
      <w:lang w:val="en-AU"/>
    </w:rPr>
  </w:style>
  <w:style w:type="table" w:styleId="TableGrid">
    <w:name w:val="Table Grid"/>
    <w:basedOn w:val="TableNormal"/>
    <w:uiPriority w:val="3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Pr>
      <w:b/>
      <w:color w:val="FFFFFF" w:themeColor="background1"/>
      <w:lang w:val="en-AU"/>
    </w:rPr>
  </w:style>
  <w:style w:type="paragraph" w:customStyle="1" w:styleId="Tablebody">
    <w:name w:val="Table body"/>
    <w:basedOn w:val="Normal"/>
    <w:qFormat/>
    <w:pPr>
      <w:spacing w:before="60" w:after="60"/>
    </w:pPr>
    <w:rPr>
      <w:lang w:val="en-AU"/>
    </w:rPr>
  </w:style>
  <w:style w:type="character" w:styleId="PageNumber">
    <w:name w:val="page number"/>
    <w:basedOn w:val="DefaultParagraphFont"/>
    <w:uiPriority w:val="99"/>
    <w:semiHidden/>
    <w:unhideWhenUsed/>
  </w:style>
  <w:style w:type="paragraph" w:customStyle="1" w:styleId="Alphabetlist">
    <w:name w:val="Alphabet list"/>
    <w:basedOn w:val="Numberlist"/>
    <w:qFormat/>
    <w:pPr>
      <w:numPr>
        <w:numId w:val="3"/>
      </w:numPr>
      <w:ind w:left="568" w:hanging="284"/>
    </w:p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unhideWhenUse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Pr>
      <w:rFonts w:ascii="Arial" w:eastAsiaTheme="minorEastAsia" w:hAnsi="Arial" w:cs="Arial"/>
      <w:sz w:val="11"/>
      <w:szCs w:val="11"/>
      <w:lang w:val="en-US"/>
    </w:rPr>
  </w:style>
  <w:style w:type="character" w:styleId="Hyperlink">
    <w:name w:val="Hyperlink"/>
    <w:basedOn w:val="DefaultParagraphFont"/>
    <w:uiPriority w:val="99"/>
    <w:unhideWhenUsed/>
    <w:rPr>
      <w:color w:val="0090DA" w:themeColor="hyperlink"/>
      <w:u w:val="single"/>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004C96" w:themeColor="followedHyperlink"/>
      <w:u w:val="single"/>
    </w:rPr>
  </w:style>
  <w:style w:type="character" w:styleId="UnresolvedMention">
    <w:name w:val="Unresolved Mention"/>
    <w:basedOn w:val="DefaultParagraphFont"/>
    <w:uiPriority w:val="99"/>
    <w:rPr>
      <w:color w:val="605E5C"/>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Pr>
      <w:rFonts w:eastAsiaTheme="minorEastAsia"/>
      <w:color w:val="000000" w:themeColor="text1"/>
      <w:spacing w:val="15"/>
      <w:sz w:val="22"/>
      <w:szCs w:val="22"/>
    </w:rPr>
  </w:style>
  <w:style w:type="character" w:styleId="SubtleEmphasis">
    <w:name w:val="Subtle Emphasis"/>
    <w:basedOn w:val="DefaultParagraphFont"/>
    <w:uiPriority w:val="19"/>
    <w:qFormat/>
    <w:rPr>
      <w:i/>
      <w:iCs/>
      <w:color w:val="000000" w:themeColor="text1"/>
    </w:rPr>
  </w:style>
  <w:style w:type="character" w:styleId="IntenseEmphasis">
    <w:name w:val="Intense Emphasis"/>
    <w:basedOn w:val="DefaultParagraphFont"/>
    <w:uiPriority w:val="21"/>
    <w:qFormat/>
    <w:rPr>
      <w:i/>
      <w:iCs/>
      <w:color w:val="000000" w:themeColor="text1"/>
    </w:rPr>
  </w:style>
  <w:style w:type="paragraph" w:styleId="IntenseQuote">
    <w:name w:val="Intense Quote"/>
    <w:basedOn w:val="Normal"/>
    <w:next w:val="Normal"/>
    <w:link w:val="IntenseQuoteChar"/>
    <w:uiPriority w:val="30"/>
    <w:qFormat/>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Pr>
      <w:b/>
      <w:iCs/>
      <w:color w:val="E57100" w:themeColor="accent1"/>
      <w:sz w:val="22"/>
    </w:rPr>
  </w:style>
  <w:style w:type="paragraph" w:customStyle="1" w:styleId="Copyrighttext">
    <w:name w:val="Copyright text"/>
    <w:basedOn w:val="Normal"/>
    <w:qFormat/>
    <w:pPr>
      <w:spacing w:after="40"/>
    </w:pPr>
    <w:rPr>
      <w:sz w:val="12"/>
      <w:szCs w:val="12"/>
    </w:rPr>
  </w:style>
  <w:style w:type="character" w:styleId="IntenseReference">
    <w:name w:val="Intense Reference"/>
    <w:basedOn w:val="DefaultParagraphFont"/>
    <w:uiPriority w:val="32"/>
    <w:qFormat/>
    <w:rPr>
      <w:b/>
      <w:bCs/>
      <w:smallCaps/>
      <w:color w:val="E57100" w:themeColor="accent1"/>
      <w:spacing w:val="5"/>
    </w:rPr>
  </w:style>
  <w:style w:type="paragraph" w:styleId="CommentText">
    <w:name w:val="annotation text"/>
    <w:basedOn w:val="Normal"/>
    <w:link w:val="CommentTextChar"/>
    <w:uiPriority w:val="99"/>
    <w:semiHidden/>
    <w:unhideWhenUsed/>
    <w:pPr>
      <w:spacing w:after="200"/>
    </w:pPr>
    <w:rPr>
      <w:rFonts w:ascii="Calibri" w:hAnsi="Calibri"/>
      <w:sz w:val="20"/>
      <w:szCs w:val="20"/>
      <w:lang w:val="en-AU"/>
    </w:rPr>
  </w:style>
  <w:style w:type="character" w:customStyle="1" w:styleId="CommentTextChar">
    <w:name w:val="Comment Text Char"/>
    <w:basedOn w:val="DefaultParagraphFont"/>
    <w:link w:val="CommentText"/>
    <w:uiPriority w:val="99"/>
    <w:semiHidden/>
    <w:rPr>
      <w:rFonts w:ascii="Calibri" w:hAnsi="Calibri"/>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12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Pr>
      <w:rFonts w:ascii="Calibri" w:hAnsi="Calibri"/>
      <w:b/>
      <w:bCs/>
      <w:sz w:val="20"/>
      <w:szCs w:val="20"/>
      <w:lang w:val="en-AU"/>
    </w:rPr>
  </w:style>
  <w:style w:type="table" w:customStyle="1" w:styleId="TableGrid1">
    <w:name w:val="Table Grid1"/>
    <w:basedOn w:val="TableNormal"/>
    <w:next w:val="TableGrid"/>
    <w:uiPriority w:val="5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21">
    <w:name w:val="List Table 4 - Accent 21"/>
    <w:basedOn w:val="TableNormal"/>
    <w:next w:val="ListTable4-Accent2"/>
    <w:uiPriority w:val="49"/>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2">
    <w:name w:val="List Table 4 Accent 2"/>
    <w:basedOn w:val="TableNormal"/>
    <w:uiPriority w:val="49"/>
    <w:tblPr>
      <w:tblStyleRowBandSize w:val="1"/>
      <w:tblStyleColBandSize w:val="1"/>
      <w:tblBorders>
        <w:top w:val="single" w:sz="4" w:space="0" w:color="FFDA60" w:themeColor="accent2" w:themeTint="99"/>
        <w:left w:val="single" w:sz="4" w:space="0" w:color="FFDA60" w:themeColor="accent2" w:themeTint="99"/>
        <w:bottom w:val="single" w:sz="4" w:space="0" w:color="FFDA60" w:themeColor="accent2" w:themeTint="99"/>
        <w:right w:val="single" w:sz="4" w:space="0" w:color="FFDA60" w:themeColor="accent2" w:themeTint="99"/>
        <w:insideH w:val="single" w:sz="4" w:space="0" w:color="FFDA60" w:themeColor="accent2" w:themeTint="99"/>
      </w:tblBorders>
    </w:tblPr>
    <w:tblStylePr w:type="firstRow">
      <w:rPr>
        <w:b/>
        <w:bCs/>
        <w:color w:val="FFFFFF" w:themeColor="background1"/>
      </w:rPr>
      <w:tblPr/>
      <w:tcPr>
        <w:tcBorders>
          <w:top w:val="single" w:sz="4" w:space="0" w:color="F6BE00" w:themeColor="accent2"/>
          <w:left w:val="single" w:sz="4" w:space="0" w:color="F6BE00" w:themeColor="accent2"/>
          <w:bottom w:val="single" w:sz="4" w:space="0" w:color="F6BE00" w:themeColor="accent2"/>
          <w:right w:val="single" w:sz="4" w:space="0" w:color="F6BE00" w:themeColor="accent2"/>
          <w:insideH w:val="nil"/>
        </w:tcBorders>
        <w:shd w:val="clear" w:color="auto" w:fill="F6BE00" w:themeFill="accent2"/>
      </w:tcPr>
    </w:tblStylePr>
    <w:tblStylePr w:type="lastRow">
      <w:rPr>
        <w:b/>
        <w:bCs/>
      </w:rPr>
      <w:tblPr/>
      <w:tcPr>
        <w:tcBorders>
          <w:top w:val="double" w:sz="4" w:space="0" w:color="FFDA60" w:themeColor="accent2" w:themeTint="99"/>
        </w:tcBorders>
      </w:tcPr>
    </w:tblStylePr>
    <w:tblStylePr w:type="firstCol">
      <w:rPr>
        <w:b/>
        <w:bCs/>
      </w:rPr>
    </w:tblStylePr>
    <w:tblStylePr w:type="lastCol">
      <w:rPr>
        <w:b/>
        <w:bCs/>
      </w:rPr>
    </w:tblStylePr>
    <w:tblStylePr w:type="band1Vert">
      <w:tblPr/>
      <w:tcPr>
        <w:shd w:val="clear" w:color="auto" w:fill="FFF2CA" w:themeFill="accent2" w:themeFillTint="33"/>
      </w:tcPr>
    </w:tblStylePr>
    <w:tblStylePr w:type="band1Horz">
      <w:tblPr/>
      <w:tcPr>
        <w:shd w:val="clear" w:color="auto" w:fill="FFF2CA" w:themeFill="accent2" w:themeFillTint="33"/>
      </w:tcPr>
    </w:tblStylePr>
  </w:style>
  <w:style w:type="table" w:customStyle="1" w:styleId="ListTable4-Accent22">
    <w:name w:val="List Table 4 - Accent 22"/>
    <w:basedOn w:val="TableNormal"/>
    <w:next w:val="ListTable4-Accent2"/>
    <w:uiPriority w:val="49"/>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ind w:left="720"/>
      <w:contextualSpacing/>
    </w:pPr>
  </w:style>
  <w:style w:type="paragraph" w:styleId="Revision">
    <w:name w:val="Revision"/>
    <w:hidden/>
    <w:uiPriority w:val="99"/>
    <w:semiHidden/>
    <w:rPr>
      <w:sz w:val="22"/>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Pr>
      <w:sz w:val="22"/>
    </w:rPr>
  </w:style>
  <w:style w:type="paragraph" w:customStyle="1" w:styleId="Callout">
    <w:name w:val="Callout"/>
    <w:basedOn w:val="Normal"/>
    <w:qFormat/>
    <w:pPr>
      <w:numPr>
        <w:numId w:val="6"/>
      </w:numPr>
      <w:pBdr>
        <w:top w:val="single" w:sz="48" w:space="1" w:color="E0F0EB"/>
        <w:left w:val="single" w:sz="24" w:space="4" w:color="66B299"/>
        <w:bottom w:val="single" w:sz="48" w:space="1" w:color="E0F0EB"/>
      </w:pBdr>
      <w:shd w:val="clear" w:color="auto" w:fill="E0F0EB"/>
      <w:spacing w:before="240" w:after="240"/>
    </w:pPr>
    <w:rPr>
      <w:rFonts w:ascii="Arial" w:hAnsi="Arial"/>
      <w:szCs w:val="22"/>
      <w:lang w:val="en-AU"/>
    </w:rPr>
  </w:style>
  <w:style w:type="character" w:customStyle="1" w:styleId="hardreadability">
    <w:name w:val="hardreadability"/>
    <w:basedOn w:val="DefaultParagraphFont"/>
  </w:style>
  <w:style w:type="character" w:customStyle="1" w:styleId="complexword">
    <w:name w:val="complexword"/>
    <w:basedOn w:val="DefaultParagraphFont"/>
  </w:style>
  <w:style w:type="paragraph" w:customStyle="1" w:styleId="public-draftstyledefault-unorderedlistitem">
    <w:name w:val="public-draftstyledefault-unorderedlistitem"/>
    <w:basedOn w:val="Normal"/>
    <w:pPr>
      <w:spacing w:before="100" w:beforeAutospacing="1" w:after="100" w:afterAutospacing="1"/>
    </w:pPr>
    <w:rPr>
      <w:rFonts w:ascii="Times New Roman" w:eastAsia="Times New Roman" w:hAnsi="Times New Roman" w:cs="Times New Roman"/>
      <w:sz w:val="24"/>
      <w:lang w:val="en-AU" w:eastAsia="en-AU"/>
    </w:rPr>
  </w:style>
  <w:style w:type="character" w:customStyle="1" w:styleId="adverb">
    <w:name w:val="adverb"/>
    <w:basedOn w:val="DefaultParagraphFont"/>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lang w:val="en-AU" w:eastAsia="en-AU"/>
    </w:rPr>
  </w:style>
  <w:style w:type="character" w:customStyle="1" w:styleId="rpl-text-label">
    <w:name w:val="rpl-text-label"/>
    <w:basedOn w:val="DefaultParagraphFont"/>
  </w:style>
  <w:style w:type="character" w:customStyle="1" w:styleId="rpl-text-icongroup">
    <w:name w:val="rpl-text-icon__grou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057">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0771975">
      <w:bodyDiv w:val="1"/>
      <w:marLeft w:val="0"/>
      <w:marRight w:val="0"/>
      <w:marTop w:val="0"/>
      <w:marBottom w:val="0"/>
      <w:divBdr>
        <w:top w:val="none" w:sz="0" w:space="0" w:color="auto"/>
        <w:left w:val="none" w:sz="0" w:space="0" w:color="auto"/>
        <w:bottom w:val="none" w:sz="0" w:space="0" w:color="auto"/>
        <w:right w:val="none" w:sz="0" w:space="0" w:color="auto"/>
      </w:divBdr>
    </w:div>
    <w:div w:id="263264597">
      <w:bodyDiv w:val="1"/>
      <w:marLeft w:val="0"/>
      <w:marRight w:val="0"/>
      <w:marTop w:val="0"/>
      <w:marBottom w:val="0"/>
      <w:divBdr>
        <w:top w:val="none" w:sz="0" w:space="0" w:color="auto"/>
        <w:left w:val="none" w:sz="0" w:space="0" w:color="auto"/>
        <w:bottom w:val="none" w:sz="0" w:space="0" w:color="auto"/>
        <w:right w:val="none" w:sz="0" w:space="0" w:color="auto"/>
      </w:divBdr>
    </w:div>
    <w:div w:id="268389256">
      <w:bodyDiv w:val="1"/>
      <w:marLeft w:val="0"/>
      <w:marRight w:val="0"/>
      <w:marTop w:val="0"/>
      <w:marBottom w:val="0"/>
      <w:divBdr>
        <w:top w:val="none" w:sz="0" w:space="0" w:color="auto"/>
        <w:left w:val="none" w:sz="0" w:space="0" w:color="auto"/>
        <w:bottom w:val="none" w:sz="0" w:space="0" w:color="auto"/>
        <w:right w:val="none" w:sz="0" w:space="0" w:color="auto"/>
      </w:divBdr>
      <w:divsChild>
        <w:div w:id="1341392225">
          <w:marLeft w:val="0"/>
          <w:marRight w:val="0"/>
          <w:marTop w:val="0"/>
          <w:marBottom w:val="0"/>
          <w:divBdr>
            <w:top w:val="none" w:sz="0" w:space="0" w:color="auto"/>
            <w:left w:val="none" w:sz="0" w:space="0" w:color="auto"/>
            <w:bottom w:val="none" w:sz="0" w:space="0" w:color="auto"/>
            <w:right w:val="none" w:sz="0" w:space="0" w:color="auto"/>
          </w:divBdr>
        </w:div>
        <w:div w:id="1753504913">
          <w:marLeft w:val="0"/>
          <w:marRight w:val="0"/>
          <w:marTop w:val="0"/>
          <w:marBottom w:val="0"/>
          <w:divBdr>
            <w:top w:val="none" w:sz="0" w:space="0" w:color="auto"/>
            <w:left w:val="none" w:sz="0" w:space="0" w:color="auto"/>
            <w:bottom w:val="none" w:sz="0" w:space="0" w:color="auto"/>
            <w:right w:val="none" w:sz="0" w:space="0" w:color="auto"/>
          </w:divBdr>
        </w:div>
        <w:div w:id="252516631">
          <w:marLeft w:val="0"/>
          <w:marRight w:val="0"/>
          <w:marTop w:val="0"/>
          <w:marBottom w:val="0"/>
          <w:divBdr>
            <w:top w:val="none" w:sz="0" w:space="0" w:color="auto"/>
            <w:left w:val="none" w:sz="0" w:space="0" w:color="auto"/>
            <w:bottom w:val="none" w:sz="0" w:space="0" w:color="auto"/>
            <w:right w:val="none" w:sz="0" w:space="0" w:color="auto"/>
          </w:divBdr>
        </w:div>
        <w:div w:id="1762945166">
          <w:marLeft w:val="0"/>
          <w:marRight w:val="0"/>
          <w:marTop w:val="0"/>
          <w:marBottom w:val="0"/>
          <w:divBdr>
            <w:top w:val="none" w:sz="0" w:space="0" w:color="auto"/>
            <w:left w:val="none" w:sz="0" w:space="0" w:color="auto"/>
            <w:bottom w:val="none" w:sz="0" w:space="0" w:color="auto"/>
            <w:right w:val="none" w:sz="0" w:space="0" w:color="auto"/>
          </w:divBdr>
        </w:div>
      </w:divsChild>
    </w:div>
    <w:div w:id="325213593">
      <w:bodyDiv w:val="1"/>
      <w:marLeft w:val="0"/>
      <w:marRight w:val="0"/>
      <w:marTop w:val="0"/>
      <w:marBottom w:val="0"/>
      <w:divBdr>
        <w:top w:val="none" w:sz="0" w:space="0" w:color="auto"/>
        <w:left w:val="none" w:sz="0" w:space="0" w:color="auto"/>
        <w:bottom w:val="none" w:sz="0" w:space="0" w:color="auto"/>
        <w:right w:val="none" w:sz="0" w:space="0" w:color="auto"/>
      </w:divBdr>
    </w:div>
    <w:div w:id="395707080">
      <w:bodyDiv w:val="1"/>
      <w:marLeft w:val="0"/>
      <w:marRight w:val="0"/>
      <w:marTop w:val="0"/>
      <w:marBottom w:val="0"/>
      <w:divBdr>
        <w:top w:val="none" w:sz="0" w:space="0" w:color="auto"/>
        <w:left w:val="none" w:sz="0" w:space="0" w:color="auto"/>
        <w:bottom w:val="none" w:sz="0" w:space="0" w:color="auto"/>
        <w:right w:val="none" w:sz="0" w:space="0" w:color="auto"/>
      </w:divBdr>
      <w:divsChild>
        <w:div w:id="588470676">
          <w:marLeft w:val="0"/>
          <w:marRight w:val="0"/>
          <w:marTop w:val="0"/>
          <w:marBottom w:val="0"/>
          <w:divBdr>
            <w:top w:val="none" w:sz="0" w:space="0" w:color="auto"/>
            <w:left w:val="none" w:sz="0" w:space="0" w:color="auto"/>
            <w:bottom w:val="none" w:sz="0" w:space="0" w:color="auto"/>
            <w:right w:val="none" w:sz="0" w:space="0" w:color="auto"/>
          </w:divBdr>
        </w:div>
      </w:divsChild>
    </w:div>
    <w:div w:id="405954390">
      <w:bodyDiv w:val="1"/>
      <w:marLeft w:val="0"/>
      <w:marRight w:val="0"/>
      <w:marTop w:val="0"/>
      <w:marBottom w:val="0"/>
      <w:divBdr>
        <w:top w:val="none" w:sz="0" w:space="0" w:color="auto"/>
        <w:left w:val="none" w:sz="0" w:space="0" w:color="auto"/>
        <w:bottom w:val="none" w:sz="0" w:space="0" w:color="auto"/>
        <w:right w:val="none" w:sz="0" w:space="0" w:color="auto"/>
      </w:divBdr>
    </w:div>
    <w:div w:id="547883878">
      <w:bodyDiv w:val="1"/>
      <w:marLeft w:val="0"/>
      <w:marRight w:val="0"/>
      <w:marTop w:val="0"/>
      <w:marBottom w:val="0"/>
      <w:divBdr>
        <w:top w:val="none" w:sz="0" w:space="0" w:color="auto"/>
        <w:left w:val="none" w:sz="0" w:space="0" w:color="auto"/>
        <w:bottom w:val="none" w:sz="0" w:space="0" w:color="auto"/>
        <w:right w:val="none" w:sz="0" w:space="0" w:color="auto"/>
      </w:divBdr>
      <w:divsChild>
        <w:div w:id="61418639">
          <w:marLeft w:val="0"/>
          <w:marRight w:val="0"/>
          <w:marTop w:val="0"/>
          <w:marBottom w:val="0"/>
          <w:divBdr>
            <w:top w:val="none" w:sz="0" w:space="0" w:color="auto"/>
            <w:left w:val="none" w:sz="0" w:space="0" w:color="auto"/>
            <w:bottom w:val="none" w:sz="0" w:space="0" w:color="auto"/>
            <w:right w:val="none" w:sz="0" w:space="0" w:color="auto"/>
          </w:divBdr>
        </w:div>
        <w:div w:id="1838960431">
          <w:marLeft w:val="0"/>
          <w:marRight w:val="0"/>
          <w:marTop w:val="0"/>
          <w:marBottom w:val="0"/>
          <w:divBdr>
            <w:top w:val="none" w:sz="0" w:space="0" w:color="auto"/>
            <w:left w:val="none" w:sz="0" w:space="0" w:color="auto"/>
            <w:bottom w:val="none" w:sz="0" w:space="0" w:color="auto"/>
            <w:right w:val="none" w:sz="0" w:space="0" w:color="auto"/>
          </w:divBdr>
        </w:div>
        <w:div w:id="1570920337">
          <w:marLeft w:val="0"/>
          <w:marRight w:val="0"/>
          <w:marTop w:val="0"/>
          <w:marBottom w:val="0"/>
          <w:divBdr>
            <w:top w:val="none" w:sz="0" w:space="0" w:color="auto"/>
            <w:left w:val="none" w:sz="0" w:space="0" w:color="auto"/>
            <w:bottom w:val="none" w:sz="0" w:space="0" w:color="auto"/>
            <w:right w:val="none" w:sz="0" w:space="0" w:color="auto"/>
          </w:divBdr>
        </w:div>
        <w:div w:id="2087335650">
          <w:marLeft w:val="0"/>
          <w:marRight w:val="0"/>
          <w:marTop w:val="0"/>
          <w:marBottom w:val="0"/>
          <w:divBdr>
            <w:top w:val="none" w:sz="0" w:space="0" w:color="auto"/>
            <w:left w:val="none" w:sz="0" w:space="0" w:color="auto"/>
            <w:bottom w:val="none" w:sz="0" w:space="0" w:color="auto"/>
            <w:right w:val="none" w:sz="0" w:space="0" w:color="auto"/>
          </w:divBdr>
        </w:div>
        <w:div w:id="160432838">
          <w:marLeft w:val="0"/>
          <w:marRight w:val="0"/>
          <w:marTop w:val="0"/>
          <w:marBottom w:val="0"/>
          <w:divBdr>
            <w:top w:val="none" w:sz="0" w:space="0" w:color="auto"/>
            <w:left w:val="none" w:sz="0" w:space="0" w:color="auto"/>
            <w:bottom w:val="none" w:sz="0" w:space="0" w:color="auto"/>
            <w:right w:val="none" w:sz="0" w:space="0" w:color="auto"/>
          </w:divBdr>
        </w:div>
        <w:div w:id="1972248394">
          <w:marLeft w:val="0"/>
          <w:marRight w:val="0"/>
          <w:marTop w:val="0"/>
          <w:marBottom w:val="0"/>
          <w:divBdr>
            <w:top w:val="none" w:sz="0" w:space="0" w:color="auto"/>
            <w:left w:val="none" w:sz="0" w:space="0" w:color="auto"/>
            <w:bottom w:val="none" w:sz="0" w:space="0" w:color="auto"/>
            <w:right w:val="none" w:sz="0" w:space="0" w:color="auto"/>
          </w:divBdr>
        </w:div>
        <w:div w:id="2100364145">
          <w:marLeft w:val="0"/>
          <w:marRight w:val="0"/>
          <w:marTop w:val="0"/>
          <w:marBottom w:val="0"/>
          <w:divBdr>
            <w:top w:val="none" w:sz="0" w:space="0" w:color="auto"/>
            <w:left w:val="none" w:sz="0" w:space="0" w:color="auto"/>
            <w:bottom w:val="none" w:sz="0" w:space="0" w:color="auto"/>
            <w:right w:val="none" w:sz="0" w:space="0" w:color="auto"/>
          </w:divBdr>
        </w:div>
        <w:div w:id="2109159471">
          <w:marLeft w:val="0"/>
          <w:marRight w:val="0"/>
          <w:marTop w:val="0"/>
          <w:marBottom w:val="0"/>
          <w:divBdr>
            <w:top w:val="none" w:sz="0" w:space="0" w:color="auto"/>
            <w:left w:val="none" w:sz="0" w:space="0" w:color="auto"/>
            <w:bottom w:val="none" w:sz="0" w:space="0" w:color="auto"/>
            <w:right w:val="none" w:sz="0" w:space="0" w:color="auto"/>
          </w:divBdr>
        </w:div>
        <w:div w:id="1910533503">
          <w:marLeft w:val="0"/>
          <w:marRight w:val="0"/>
          <w:marTop w:val="0"/>
          <w:marBottom w:val="0"/>
          <w:divBdr>
            <w:top w:val="none" w:sz="0" w:space="0" w:color="auto"/>
            <w:left w:val="none" w:sz="0" w:space="0" w:color="auto"/>
            <w:bottom w:val="none" w:sz="0" w:space="0" w:color="auto"/>
            <w:right w:val="none" w:sz="0" w:space="0" w:color="auto"/>
          </w:divBdr>
        </w:div>
        <w:div w:id="1004281393">
          <w:marLeft w:val="0"/>
          <w:marRight w:val="0"/>
          <w:marTop w:val="0"/>
          <w:marBottom w:val="0"/>
          <w:divBdr>
            <w:top w:val="none" w:sz="0" w:space="0" w:color="auto"/>
            <w:left w:val="none" w:sz="0" w:space="0" w:color="auto"/>
            <w:bottom w:val="none" w:sz="0" w:space="0" w:color="auto"/>
            <w:right w:val="none" w:sz="0" w:space="0" w:color="auto"/>
          </w:divBdr>
        </w:div>
      </w:divsChild>
    </w:div>
    <w:div w:id="569118562">
      <w:bodyDiv w:val="1"/>
      <w:marLeft w:val="0"/>
      <w:marRight w:val="0"/>
      <w:marTop w:val="0"/>
      <w:marBottom w:val="0"/>
      <w:divBdr>
        <w:top w:val="none" w:sz="0" w:space="0" w:color="auto"/>
        <w:left w:val="none" w:sz="0" w:space="0" w:color="auto"/>
        <w:bottom w:val="none" w:sz="0" w:space="0" w:color="auto"/>
        <w:right w:val="none" w:sz="0" w:space="0" w:color="auto"/>
      </w:divBdr>
      <w:divsChild>
        <w:div w:id="782312495">
          <w:marLeft w:val="0"/>
          <w:marRight w:val="0"/>
          <w:marTop w:val="0"/>
          <w:marBottom w:val="0"/>
          <w:divBdr>
            <w:top w:val="none" w:sz="0" w:space="0" w:color="auto"/>
            <w:left w:val="none" w:sz="0" w:space="0" w:color="auto"/>
            <w:bottom w:val="none" w:sz="0" w:space="0" w:color="auto"/>
            <w:right w:val="none" w:sz="0" w:space="0" w:color="auto"/>
          </w:divBdr>
        </w:div>
        <w:div w:id="1015687015">
          <w:marLeft w:val="0"/>
          <w:marRight w:val="0"/>
          <w:marTop w:val="0"/>
          <w:marBottom w:val="0"/>
          <w:divBdr>
            <w:top w:val="none" w:sz="0" w:space="0" w:color="auto"/>
            <w:left w:val="none" w:sz="0" w:space="0" w:color="auto"/>
            <w:bottom w:val="none" w:sz="0" w:space="0" w:color="auto"/>
            <w:right w:val="none" w:sz="0" w:space="0" w:color="auto"/>
          </w:divBdr>
        </w:div>
        <w:div w:id="1059867425">
          <w:marLeft w:val="0"/>
          <w:marRight w:val="0"/>
          <w:marTop w:val="0"/>
          <w:marBottom w:val="0"/>
          <w:divBdr>
            <w:top w:val="none" w:sz="0" w:space="0" w:color="auto"/>
            <w:left w:val="none" w:sz="0" w:space="0" w:color="auto"/>
            <w:bottom w:val="none" w:sz="0" w:space="0" w:color="auto"/>
            <w:right w:val="none" w:sz="0" w:space="0" w:color="auto"/>
          </w:divBdr>
        </w:div>
        <w:div w:id="1099838377">
          <w:marLeft w:val="0"/>
          <w:marRight w:val="0"/>
          <w:marTop w:val="0"/>
          <w:marBottom w:val="0"/>
          <w:divBdr>
            <w:top w:val="none" w:sz="0" w:space="0" w:color="auto"/>
            <w:left w:val="none" w:sz="0" w:space="0" w:color="auto"/>
            <w:bottom w:val="none" w:sz="0" w:space="0" w:color="auto"/>
            <w:right w:val="none" w:sz="0" w:space="0" w:color="auto"/>
          </w:divBdr>
        </w:div>
        <w:div w:id="1628468841">
          <w:marLeft w:val="0"/>
          <w:marRight w:val="0"/>
          <w:marTop w:val="0"/>
          <w:marBottom w:val="0"/>
          <w:divBdr>
            <w:top w:val="none" w:sz="0" w:space="0" w:color="auto"/>
            <w:left w:val="none" w:sz="0" w:space="0" w:color="auto"/>
            <w:bottom w:val="none" w:sz="0" w:space="0" w:color="auto"/>
            <w:right w:val="none" w:sz="0" w:space="0" w:color="auto"/>
          </w:divBdr>
        </w:div>
        <w:div w:id="1334725646">
          <w:marLeft w:val="0"/>
          <w:marRight w:val="0"/>
          <w:marTop w:val="0"/>
          <w:marBottom w:val="0"/>
          <w:divBdr>
            <w:top w:val="none" w:sz="0" w:space="0" w:color="auto"/>
            <w:left w:val="none" w:sz="0" w:space="0" w:color="auto"/>
            <w:bottom w:val="none" w:sz="0" w:space="0" w:color="auto"/>
            <w:right w:val="none" w:sz="0" w:space="0" w:color="auto"/>
          </w:divBdr>
        </w:div>
        <w:div w:id="1520584131">
          <w:marLeft w:val="0"/>
          <w:marRight w:val="0"/>
          <w:marTop w:val="0"/>
          <w:marBottom w:val="0"/>
          <w:divBdr>
            <w:top w:val="none" w:sz="0" w:space="0" w:color="auto"/>
            <w:left w:val="none" w:sz="0" w:space="0" w:color="auto"/>
            <w:bottom w:val="none" w:sz="0" w:space="0" w:color="auto"/>
            <w:right w:val="none" w:sz="0" w:space="0" w:color="auto"/>
          </w:divBdr>
        </w:div>
        <w:div w:id="1850409352">
          <w:marLeft w:val="0"/>
          <w:marRight w:val="0"/>
          <w:marTop w:val="0"/>
          <w:marBottom w:val="0"/>
          <w:divBdr>
            <w:top w:val="none" w:sz="0" w:space="0" w:color="auto"/>
            <w:left w:val="none" w:sz="0" w:space="0" w:color="auto"/>
            <w:bottom w:val="none" w:sz="0" w:space="0" w:color="auto"/>
            <w:right w:val="none" w:sz="0" w:space="0" w:color="auto"/>
          </w:divBdr>
        </w:div>
        <w:div w:id="993727503">
          <w:marLeft w:val="0"/>
          <w:marRight w:val="0"/>
          <w:marTop w:val="0"/>
          <w:marBottom w:val="0"/>
          <w:divBdr>
            <w:top w:val="none" w:sz="0" w:space="0" w:color="auto"/>
            <w:left w:val="none" w:sz="0" w:space="0" w:color="auto"/>
            <w:bottom w:val="none" w:sz="0" w:space="0" w:color="auto"/>
            <w:right w:val="none" w:sz="0" w:space="0" w:color="auto"/>
          </w:divBdr>
        </w:div>
      </w:divsChild>
    </w:div>
    <w:div w:id="657073121">
      <w:bodyDiv w:val="1"/>
      <w:marLeft w:val="0"/>
      <w:marRight w:val="0"/>
      <w:marTop w:val="0"/>
      <w:marBottom w:val="0"/>
      <w:divBdr>
        <w:top w:val="none" w:sz="0" w:space="0" w:color="auto"/>
        <w:left w:val="none" w:sz="0" w:space="0" w:color="auto"/>
        <w:bottom w:val="none" w:sz="0" w:space="0" w:color="auto"/>
        <w:right w:val="none" w:sz="0" w:space="0" w:color="auto"/>
      </w:divBdr>
    </w:div>
    <w:div w:id="802965645">
      <w:bodyDiv w:val="1"/>
      <w:marLeft w:val="0"/>
      <w:marRight w:val="0"/>
      <w:marTop w:val="0"/>
      <w:marBottom w:val="0"/>
      <w:divBdr>
        <w:top w:val="none" w:sz="0" w:space="0" w:color="auto"/>
        <w:left w:val="none" w:sz="0" w:space="0" w:color="auto"/>
        <w:bottom w:val="none" w:sz="0" w:space="0" w:color="auto"/>
        <w:right w:val="none" w:sz="0" w:space="0" w:color="auto"/>
      </w:divBdr>
    </w:div>
    <w:div w:id="953950091">
      <w:bodyDiv w:val="1"/>
      <w:marLeft w:val="0"/>
      <w:marRight w:val="0"/>
      <w:marTop w:val="0"/>
      <w:marBottom w:val="0"/>
      <w:divBdr>
        <w:top w:val="none" w:sz="0" w:space="0" w:color="auto"/>
        <w:left w:val="none" w:sz="0" w:space="0" w:color="auto"/>
        <w:bottom w:val="none" w:sz="0" w:space="0" w:color="auto"/>
        <w:right w:val="none" w:sz="0" w:space="0" w:color="auto"/>
      </w:divBdr>
      <w:divsChild>
        <w:div w:id="544684203">
          <w:marLeft w:val="0"/>
          <w:marRight w:val="0"/>
          <w:marTop w:val="0"/>
          <w:marBottom w:val="0"/>
          <w:divBdr>
            <w:top w:val="none" w:sz="0" w:space="0" w:color="auto"/>
            <w:left w:val="none" w:sz="0" w:space="0" w:color="auto"/>
            <w:bottom w:val="none" w:sz="0" w:space="0" w:color="auto"/>
            <w:right w:val="none" w:sz="0" w:space="0" w:color="auto"/>
          </w:divBdr>
        </w:div>
      </w:divsChild>
    </w:div>
    <w:div w:id="993333457">
      <w:bodyDiv w:val="1"/>
      <w:marLeft w:val="0"/>
      <w:marRight w:val="0"/>
      <w:marTop w:val="0"/>
      <w:marBottom w:val="0"/>
      <w:divBdr>
        <w:top w:val="none" w:sz="0" w:space="0" w:color="auto"/>
        <w:left w:val="none" w:sz="0" w:space="0" w:color="auto"/>
        <w:bottom w:val="none" w:sz="0" w:space="0" w:color="auto"/>
        <w:right w:val="none" w:sz="0" w:space="0" w:color="auto"/>
      </w:divBdr>
      <w:divsChild>
        <w:div w:id="542450206">
          <w:marLeft w:val="0"/>
          <w:marRight w:val="0"/>
          <w:marTop w:val="0"/>
          <w:marBottom w:val="0"/>
          <w:divBdr>
            <w:top w:val="none" w:sz="0" w:space="0" w:color="auto"/>
            <w:left w:val="none" w:sz="0" w:space="0" w:color="auto"/>
            <w:bottom w:val="none" w:sz="0" w:space="0" w:color="auto"/>
            <w:right w:val="none" w:sz="0" w:space="0" w:color="auto"/>
          </w:divBdr>
        </w:div>
        <w:div w:id="1959943104">
          <w:marLeft w:val="0"/>
          <w:marRight w:val="0"/>
          <w:marTop w:val="0"/>
          <w:marBottom w:val="0"/>
          <w:divBdr>
            <w:top w:val="none" w:sz="0" w:space="0" w:color="auto"/>
            <w:left w:val="none" w:sz="0" w:space="0" w:color="auto"/>
            <w:bottom w:val="none" w:sz="0" w:space="0" w:color="auto"/>
            <w:right w:val="none" w:sz="0" w:space="0" w:color="auto"/>
          </w:divBdr>
        </w:div>
        <w:div w:id="2086536922">
          <w:marLeft w:val="0"/>
          <w:marRight w:val="0"/>
          <w:marTop w:val="0"/>
          <w:marBottom w:val="0"/>
          <w:divBdr>
            <w:top w:val="none" w:sz="0" w:space="0" w:color="auto"/>
            <w:left w:val="none" w:sz="0" w:space="0" w:color="auto"/>
            <w:bottom w:val="none" w:sz="0" w:space="0" w:color="auto"/>
            <w:right w:val="none" w:sz="0" w:space="0" w:color="auto"/>
          </w:divBdr>
        </w:div>
        <w:div w:id="1803688768">
          <w:marLeft w:val="0"/>
          <w:marRight w:val="0"/>
          <w:marTop w:val="0"/>
          <w:marBottom w:val="0"/>
          <w:divBdr>
            <w:top w:val="none" w:sz="0" w:space="0" w:color="auto"/>
            <w:left w:val="none" w:sz="0" w:space="0" w:color="auto"/>
            <w:bottom w:val="none" w:sz="0" w:space="0" w:color="auto"/>
            <w:right w:val="none" w:sz="0" w:space="0" w:color="auto"/>
          </w:divBdr>
        </w:div>
        <w:div w:id="1819149311">
          <w:marLeft w:val="0"/>
          <w:marRight w:val="0"/>
          <w:marTop w:val="0"/>
          <w:marBottom w:val="0"/>
          <w:divBdr>
            <w:top w:val="none" w:sz="0" w:space="0" w:color="auto"/>
            <w:left w:val="none" w:sz="0" w:space="0" w:color="auto"/>
            <w:bottom w:val="none" w:sz="0" w:space="0" w:color="auto"/>
            <w:right w:val="none" w:sz="0" w:space="0" w:color="auto"/>
          </w:divBdr>
        </w:div>
        <w:div w:id="1371494628">
          <w:marLeft w:val="0"/>
          <w:marRight w:val="0"/>
          <w:marTop w:val="0"/>
          <w:marBottom w:val="0"/>
          <w:divBdr>
            <w:top w:val="none" w:sz="0" w:space="0" w:color="auto"/>
            <w:left w:val="none" w:sz="0" w:space="0" w:color="auto"/>
            <w:bottom w:val="none" w:sz="0" w:space="0" w:color="auto"/>
            <w:right w:val="none" w:sz="0" w:space="0" w:color="auto"/>
          </w:divBdr>
        </w:div>
        <w:div w:id="1461805470">
          <w:marLeft w:val="0"/>
          <w:marRight w:val="0"/>
          <w:marTop w:val="0"/>
          <w:marBottom w:val="0"/>
          <w:divBdr>
            <w:top w:val="none" w:sz="0" w:space="0" w:color="auto"/>
            <w:left w:val="none" w:sz="0" w:space="0" w:color="auto"/>
            <w:bottom w:val="none" w:sz="0" w:space="0" w:color="auto"/>
            <w:right w:val="none" w:sz="0" w:space="0" w:color="auto"/>
          </w:divBdr>
        </w:div>
        <w:div w:id="373697526">
          <w:marLeft w:val="0"/>
          <w:marRight w:val="0"/>
          <w:marTop w:val="0"/>
          <w:marBottom w:val="0"/>
          <w:divBdr>
            <w:top w:val="none" w:sz="0" w:space="0" w:color="auto"/>
            <w:left w:val="none" w:sz="0" w:space="0" w:color="auto"/>
            <w:bottom w:val="none" w:sz="0" w:space="0" w:color="auto"/>
            <w:right w:val="none" w:sz="0" w:space="0" w:color="auto"/>
          </w:divBdr>
        </w:div>
        <w:div w:id="254286450">
          <w:marLeft w:val="0"/>
          <w:marRight w:val="0"/>
          <w:marTop w:val="0"/>
          <w:marBottom w:val="0"/>
          <w:divBdr>
            <w:top w:val="none" w:sz="0" w:space="0" w:color="auto"/>
            <w:left w:val="none" w:sz="0" w:space="0" w:color="auto"/>
            <w:bottom w:val="none" w:sz="0" w:space="0" w:color="auto"/>
            <w:right w:val="none" w:sz="0" w:space="0" w:color="auto"/>
          </w:divBdr>
        </w:div>
        <w:div w:id="75789528">
          <w:marLeft w:val="0"/>
          <w:marRight w:val="0"/>
          <w:marTop w:val="0"/>
          <w:marBottom w:val="0"/>
          <w:divBdr>
            <w:top w:val="none" w:sz="0" w:space="0" w:color="auto"/>
            <w:left w:val="none" w:sz="0" w:space="0" w:color="auto"/>
            <w:bottom w:val="none" w:sz="0" w:space="0" w:color="auto"/>
            <w:right w:val="none" w:sz="0" w:space="0" w:color="auto"/>
          </w:divBdr>
        </w:div>
        <w:div w:id="480080031">
          <w:marLeft w:val="0"/>
          <w:marRight w:val="0"/>
          <w:marTop w:val="0"/>
          <w:marBottom w:val="0"/>
          <w:divBdr>
            <w:top w:val="none" w:sz="0" w:space="0" w:color="auto"/>
            <w:left w:val="none" w:sz="0" w:space="0" w:color="auto"/>
            <w:bottom w:val="none" w:sz="0" w:space="0" w:color="auto"/>
            <w:right w:val="none" w:sz="0" w:space="0" w:color="auto"/>
          </w:divBdr>
        </w:div>
      </w:divsChild>
    </w:div>
    <w:div w:id="1075665483">
      <w:bodyDiv w:val="1"/>
      <w:marLeft w:val="0"/>
      <w:marRight w:val="0"/>
      <w:marTop w:val="0"/>
      <w:marBottom w:val="0"/>
      <w:divBdr>
        <w:top w:val="none" w:sz="0" w:space="0" w:color="auto"/>
        <w:left w:val="none" w:sz="0" w:space="0" w:color="auto"/>
        <w:bottom w:val="none" w:sz="0" w:space="0" w:color="auto"/>
        <w:right w:val="none" w:sz="0" w:space="0" w:color="auto"/>
      </w:divBdr>
      <w:divsChild>
        <w:div w:id="1405647322">
          <w:marLeft w:val="0"/>
          <w:marRight w:val="0"/>
          <w:marTop w:val="0"/>
          <w:marBottom w:val="0"/>
          <w:divBdr>
            <w:top w:val="none" w:sz="0" w:space="0" w:color="auto"/>
            <w:left w:val="none" w:sz="0" w:space="0" w:color="auto"/>
            <w:bottom w:val="none" w:sz="0" w:space="0" w:color="auto"/>
            <w:right w:val="none" w:sz="0" w:space="0" w:color="auto"/>
          </w:divBdr>
        </w:div>
        <w:div w:id="1506901828">
          <w:marLeft w:val="0"/>
          <w:marRight w:val="0"/>
          <w:marTop w:val="0"/>
          <w:marBottom w:val="0"/>
          <w:divBdr>
            <w:top w:val="none" w:sz="0" w:space="0" w:color="auto"/>
            <w:left w:val="none" w:sz="0" w:space="0" w:color="auto"/>
            <w:bottom w:val="none" w:sz="0" w:space="0" w:color="auto"/>
            <w:right w:val="none" w:sz="0" w:space="0" w:color="auto"/>
          </w:divBdr>
        </w:div>
        <w:div w:id="250745748">
          <w:marLeft w:val="0"/>
          <w:marRight w:val="0"/>
          <w:marTop w:val="0"/>
          <w:marBottom w:val="0"/>
          <w:divBdr>
            <w:top w:val="none" w:sz="0" w:space="0" w:color="auto"/>
            <w:left w:val="none" w:sz="0" w:space="0" w:color="auto"/>
            <w:bottom w:val="none" w:sz="0" w:space="0" w:color="auto"/>
            <w:right w:val="none" w:sz="0" w:space="0" w:color="auto"/>
          </w:divBdr>
        </w:div>
        <w:div w:id="437799624">
          <w:marLeft w:val="0"/>
          <w:marRight w:val="0"/>
          <w:marTop w:val="0"/>
          <w:marBottom w:val="0"/>
          <w:divBdr>
            <w:top w:val="none" w:sz="0" w:space="0" w:color="auto"/>
            <w:left w:val="none" w:sz="0" w:space="0" w:color="auto"/>
            <w:bottom w:val="none" w:sz="0" w:space="0" w:color="auto"/>
            <w:right w:val="none" w:sz="0" w:space="0" w:color="auto"/>
          </w:divBdr>
        </w:div>
        <w:div w:id="1867022087">
          <w:marLeft w:val="0"/>
          <w:marRight w:val="0"/>
          <w:marTop w:val="0"/>
          <w:marBottom w:val="0"/>
          <w:divBdr>
            <w:top w:val="none" w:sz="0" w:space="0" w:color="auto"/>
            <w:left w:val="none" w:sz="0" w:space="0" w:color="auto"/>
            <w:bottom w:val="none" w:sz="0" w:space="0" w:color="auto"/>
            <w:right w:val="none" w:sz="0" w:space="0" w:color="auto"/>
          </w:divBdr>
        </w:div>
      </w:divsChild>
    </w:div>
    <w:div w:id="1107693347">
      <w:bodyDiv w:val="1"/>
      <w:marLeft w:val="0"/>
      <w:marRight w:val="0"/>
      <w:marTop w:val="0"/>
      <w:marBottom w:val="0"/>
      <w:divBdr>
        <w:top w:val="none" w:sz="0" w:space="0" w:color="auto"/>
        <w:left w:val="none" w:sz="0" w:space="0" w:color="auto"/>
        <w:bottom w:val="none" w:sz="0" w:space="0" w:color="auto"/>
        <w:right w:val="none" w:sz="0" w:space="0" w:color="auto"/>
      </w:divBdr>
    </w:div>
    <w:div w:id="1112473641">
      <w:bodyDiv w:val="1"/>
      <w:marLeft w:val="0"/>
      <w:marRight w:val="0"/>
      <w:marTop w:val="0"/>
      <w:marBottom w:val="0"/>
      <w:divBdr>
        <w:top w:val="none" w:sz="0" w:space="0" w:color="auto"/>
        <w:left w:val="none" w:sz="0" w:space="0" w:color="auto"/>
        <w:bottom w:val="none" w:sz="0" w:space="0" w:color="auto"/>
        <w:right w:val="none" w:sz="0" w:space="0" w:color="auto"/>
      </w:divBdr>
      <w:divsChild>
        <w:div w:id="2032291201">
          <w:marLeft w:val="0"/>
          <w:marRight w:val="0"/>
          <w:marTop w:val="0"/>
          <w:marBottom w:val="0"/>
          <w:divBdr>
            <w:top w:val="none" w:sz="0" w:space="0" w:color="auto"/>
            <w:left w:val="none" w:sz="0" w:space="0" w:color="auto"/>
            <w:bottom w:val="none" w:sz="0" w:space="0" w:color="auto"/>
            <w:right w:val="none" w:sz="0" w:space="0" w:color="auto"/>
          </w:divBdr>
        </w:div>
      </w:divsChild>
    </w:div>
    <w:div w:id="1132283780">
      <w:bodyDiv w:val="1"/>
      <w:marLeft w:val="0"/>
      <w:marRight w:val="0"/>
      <w:marTop w:val="0"/>
      <w:marBottom w:val="0"/>
      <w:divBdr>
        <w:top w:val="none" w:sz="0" w:space="0" w:color="auto"/>
        <w:left w:val="none" w:sz="0" w:space="0" w:color="auto"/>
        <w:bottom w:val="none" w:sz="0" w:space="0" w:color="auto"/>
        <w:right w:val="none" w:sz="0" w:space="0" w:color="auto"/>
      </w:divBdr>
      <w:divsChild>
        <w:div w:id="967783921">
          <w:marLeft w:val="0"/>
          <w:marRight w:val="0"/>
          <w:marTop w:val="0"/>
          <w:marBottom w:val="0"/>
          <w:divBdr>
            <w:top w:val="none" w:sz="0" w:space="0" w:color="auto"/>
            <w:left w:val="none" w:sz="0" w:space="0" w:color="auto"/>
            <w:bottom w:val="none" w:sz="0" w:space="0" w:color="auto"/>
            <w:right w:val="none" w:sz="0" w:space="0" w:color="auto"/>
          </w:divBdr>
        </w:div>
        <w:div w:id="2071491863">
          <w:marLeft w:val="0"/>
          <w:marRight w:val="0"/>
          <w:marTop w:val="0"/>
          <w:marBottom w:val="0"/>
          <w:divBdr>
            <w:top w:val="none" w:sz="0" w:space="0" w:color="auto"/>
            <w:left w:val="none" w:sz="0" w:space="0" w:color="auto"/>
            <w:bottom w:val="none" w:sz="0" w:space="0" w:color="auto"/>
            <w:right w:val="none" w:sz="0" w:space="0" w:color="auto"/>
          </w:divBdr>
        </w:div>
        <w:div w:id="693766568">
          <w:marLeft w:val="0"/>
          <w:marRight w:val="0"/>
          <w:marTop w:val="0"/>
          <w:marBottom w:val="0"/>
          <w:divBdr>
            <w:top w:val="none" w:sz="0" w:space="0" w:color="auto"/>
            <w:left w:val="none" w:sz="0" w:space="0" w:color="auto"/>
            <w:bottom w:val="none" w:sz="0" w:space="0" w:color="auto"/>
            <w:right w:val="none" w:sz="0" w:space="0" w:color="auto"/>
          </w:divBdr>
        </w:div>
        <w:div w:id="866336073">
          <w:marLeft w:val="0"/>
          <w:marRight w:val="0"/>
          <w:marTop w:val="0"/>
          <w:marBottom w:val="0"/>
          <w:divBdr>
            <w:top w:val="none" w:sz="0" w:space="0" w:color="auto"/>
            <w:left w:val="none" w:sz="0" w:space="0" w:color="auto"/>
            <w:bottom w:val="none" w:sz="0" w:space="0" w:color="auto"/>
            <w:right w:val="none" w:sz="0" w:space="0" w:color="auto"/>
          </w:divBdr>
        </w:div>
        <w:div w:id="699748542">
          <w:marLeft w:val="0"/>
          <w:marRight w:val="0"/>
          <w:marTop w:val="0"/>
          <w:marBottom w:val="0"/>
          <w:divBdr>
            <w:top w:val="none" w:sz="0" w:space="0" w:color="auto"/>
            <w:left w:val="none" w:sz="0" w:space="0" w:color="auto"/>
            <w:bottom w:val="none" w:sz="0" w:space="0" w:color="auto"/>
            <w:right w:val="none" w:sz="0" w:space="0" w:color="auto"/>
          </w:divBdr>
        </w:div>
      </w:divsChild>
    </w:div>
    <w:div w:id="1150825416">
      <w:bodyDiv w:val="1"/>
      <w:marLeft w:val="0"/>
      <w:marRight w:val="0"/>
      <w:marTop w:val="0"/>
      <w:marBottom w:val="0"/>
      <w:divBdr>
        <w:top w:val="none" w:sz="0" w:space="0" w:color="auto"/>
        <w:left w:val="none" w:sz="0" w:space="0" w:color="auto"/>
        <w:bottom w:val="none" w:sz="0" w:space="0" w:color="auto"/>
        <w:right w:val="none" w:sz="0" w:space="0" w:color="auto"/>
      </w:divBdr>
    </w:div>
    <w:div w:id="1184246216">
      <w:bodyDiv w:val="1"/>
      <w:marLeft w:val="0"/>
      <w:marRight w:val="0"/>
      <w:marTop w:val="0"/>
      <w:marBottom w:val="0"/>
      <w:divBdr>
        <w:top w:val="none" w:sz="0" w:space="0" w:color="auto"/>
        <w:left w:val="none" w:sz="0" w:space="0" w:color="auto"/>
        <w:bottom w:val="none" w:sz="0" w:space="0" w:color="auto"/>
        <w:right w:val="none" w:sz="0" w:space="0" w:color="auto"/>
      </w:divBdr>
      <w:divsChild>
        <w:div w:id="1793859988">
          <w:marLeft w:val="0"/>
          <w:marRight w:val="0"/>
          <w:marTop w:val="0"/>
          <w:marBottom w:val="0"/>
          <w:divBdr>
            <w:top w:val="none" w:sz="0" w:space="0" w:color="auto"/>
            <w:left w:val="none" w:sz="0" w:space="0" w:color="auto"/>
            <w:bottom w:val="none" w:sz="0" w:space="0" w:color="auto"/>
            <w:right w:val="none" w:sz="0" w:space="0" w:color="auto"/>
          </w:divBdr>
        </w:div>
        <w:div w:id="718742087">
          <w:marLeft w:val="0"/>
          <w:marRight w:val="0"/>
          <w:marTop w:val="0"/>
          <w:marBottom w:val="0"/>
          <w:divBdr>
            <w:top w:val="none" w:sz="0" w:space="0" w:color="auto"/>
            <w:left w:val="none" w:sz="0" w:space="0" w:color="auto"/>
            <w:bottom w:val="none" w:sz="0" w:space="0" w:color="auto"/>
            <w:right w:val="none" w:sz="0" w:space="0" w:color="auto"/>
          </w:divBdr>
        </w:div>
        <w:div w:id="575209529">
          <w:marLeft w:val="0"/>
          <w:marRight w:val="0"/>
          <w:marTop w:val="0"/>
          <w:marBottom w:val="0"/>
          <w:divBdr>
            <w:top w:val="none" w:sz="0" w:space="0" w:color="auto"/>
            <w:left w:val="none" w:sz="0" w:space="0" w:color="auto"/>
            <w:bottom w:val="none" w:sz="0" w:space="0" w:color="auto"/>
            <w:right w:val="none" w:sz="0" w:space="0" w:color="auto"/>
          </w:divBdr>
        </w:div>
        <w:div w:id="590360350">
          <w:marLeft w:val="0"/>
          <w:marRight w:val="0"/>
          <w:marTop w:val="0"/>
          <w:marBottom w:val="0"/>
          <w:divBdr>
            <w:top w:val="none" w:sz="0" w:space="0" w:color="auto"/>
            <w:left w:val="none" w:sz="0" w:space="0" w:color="auto"/>
            <w:bottom w:val="none" w:sz="0" w:space="0" w:color="auto"/>
            <w:right w:val="none" w:sz="0" w:space="0" w:color="auto"/>
          </w:divBdr>
        </w:div>
        <w:div w:id="982467301">
          <w:marLeft w:val="0"/>
          <w:marRight w:val="0"/>
          <w:marTop w:val="0"/>
          <w:marBottom w:val="0"/>
          <w:divBdr>
            <w:top w:val="none" w:sz="0" w:space="0" w:color="auto"/>
            <w:left w:val="none" w:sz="0" w:space="0" w:color="auto"/>
            <w:bottom w:val="none" w:sz="0" w:space="0" w:color="auto"/>
            <w:right w:val="none" w:sz="0" w:space="0" w:color="auto"/>
          </w:divBdr>
        </w:div>
        <w:div w:id="1844197925">
          <w:marLeft w:val="0"/>
          <w:marRight w:val="0"/>
          <w:marTop w:val="0"/>
          <w:marBottom w:val="0"/>
          <w:divBdr>
            <w:top w:val="none" w:sz="0" w:space="0" w:color="auto"/>
            <w:left w:val="none" w:sz="0" w:space="0" w:color="auto"/>
            <w:bottom w:val="none" w:sz="0" w:space="0" w:color="auto"/>
            <w:right w:val="none" w:sz="0" w:space="0" w:color="auto"/>
          </w:divBdr>
        </w:div>
        <w:div w:id="941494157">
          <w:marLeft w:val="0"/>
          <w:marRight w:val="0"/>
          <w:marTop w:val="0"/>
          <w:marBottom w:val="0"/>
          <w:divBdr>
            <w:top w:val="none" w:sz="0" w:space="0" w:color="auto"/>
            <w:left w:val="none" w:sz="0" w:space="0" w:color="auto"/>
            <w:bottom w:val="none" w:sz="0" w:space="0" w:color="auto"/>
            <w:right w:val="none" w:sz="0" w:space="0" w:color="auto"/>
          </w:divBdr>
        </w:div>
        <w:div w:id="778063419">
          <w:marLeft w:val="0"/>
          <w:marRight w:val="0"/>
          <w:marTop w:val="0"/>
          <w:marBottom w:val="0"/>
          <w:divBdr>
            <w:top w:val="none" w:sz="0" w:space="0" w:color="auto"/>
            <w:left w:val="none" w:sz="0" w:space="0" w:color="auto"/>
            <w:bottom w:val="none" w:sz="0" w:space="0" w:color="auto"/>
            <w:right w:val="none" w:sz="0" w:space="0" w:color="auto"/>
          </w:divBdr>
        </w:div>
        <w:div w:id="1317951926">
          <w:marLeft w:val="0"/>
          <w:marRight w:val="0"/>
          <w:marTop w:val="0"/>
          <w:marBottom w:val="0"/>
          <w:divBdr>
            <w:top w:val="none" w:sz="0" w:space="0" w:color="auto"/>
            <w:left w:val="none" w:sz="0" w:space="0" w:color="auto"/>
            <w:bottom w:val="none" w:sz="0" w:space="0" w:color="auto"/>
            <w:right w:val="none" w:sz="0" w:space="0" w:color="auto"/>
          </w:divBdr>
        </w:div>
      </w:divsChild>
    </w:div>
    <w:div w:id="1230965656">
      <w:bodyDiv w:val="1"/>
      <w:marLeft w:val="0"/>
      <w:marRight w:val="0"/>
      <w:marTop w:val="0"/>
      <w:marBottom w:val="0"/>
      <w:divBdr>
        <w:top w:val="none" w:sz="0" w:space="0" w:color="auto"/>
        <w:left w:val="none" w:sz="0" w:space="0" w:color="auto"/>
        <w:bottom w:val="none" w:sz="0" w:space="0" w:color="auto"/>
        <w:right w:val="none" w:sz="0" w:space="0" w:color="auto"/>
      </w:divBdr>
    </w:div>
    <w:div w:id="126106455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6143551">
      <w:bodyDiv w:val="1"/>
      <w:marLeft w:val="0"/>
      <w:marRight w:val="0"/>
      <w:marTop w:val="0"/>
      <w:marBottom w:val="0"/>
      <w:divBdr>
        <w:top w:val="none" w:sz="0" w:space="0" w:color="auto"/>
        <w:left w:val="none" w:sz="0" w:space="0" w:color="auto"/>
        <w:bottom w:val="none" w:sz="0" w:space="0" w:color="auto"/>
        <w:right w:val="none" w:sz="0" w:space="0" w:color="auto"/>
      </w:divBdr>
    </w:div>
    <w:div w:id="1430853929">
      <w:bodyDiv w:val="1"/>
      <w:marLeft w:val="0"/>
      <w:marRight w:val="0"/>
      <w:marTop w:val="0"/>
      <w:marBottom w:val="0"/>
      <w:divBdr>
        <w:top w:val="none" w:sz="0" w:space="0" w:color="auto"/>
        <w:left w:val="none" w:sz="0" w:space="0" w:color="auto"/>
        <w:bottom w:val="none" w:sz="0" w:space="0" w:color="auto"/>
        <w:right w:val="none" w:sz="0" w:space="0" w:color="auto"/>
      </w:divBdr>
    </w:div>
    <w:div w:id="1460149970">
      <w:bodyDiv w:val="1"/>
      <w:marLeft w:val="0"/>
      <w:marRight w:val="0"/>
      <w:marTop w:val="0"/>
      <w:marBottom w:val="0"/>
      <w:divBdr>
        <w:top w:val="none" w:sz="0" w:space="0" w:color="auto"/>
        <w:left w:val="none" w:sz="0" w:space="0" w:color="auto"/>
        <w:bottom w:val="none" w:sz="0" w:space="0" w:color="auto"/>
        <w:right w:val="none" w:sz="0" w:space="0" w:color="auto"/>
      </w:divBdr>
    </w:div>
    <w:div w:id="1531841794">
      <w:bodyDiv w:val="1"/>
      <w:marLeft w:val="0"/>
      <w:marRight w:val="0"/>
      <w:marTop w:val="0"/>
      <w:marBottom w:val="0"/>
      <w:divBdr>
        <w:top w:val="none" w:sz="0" w:space="0" w:color="auto"/>
        <w:left w:val="none" w:sz="0" w:space="0" w:color="auto"/>
        <w:bottom w:val="none" w:sz="0" w:space="0" w:color="auto"/>
        <w:right w:val="none" w:sz="0" w:space="0" w:color="auto"/>
      </w:divBdr>
    </w:div>
    <w:div w:id="1555966794">
      <w:bodyDiv w:val="1"/>
      <w:marLeft w:val="0"/>
      <w:marRight w:val="0"/>
      <w:marTop w:val="0"/>
      <w:marBottom w:val="0"/>
      <w:divBdr>
        <w:top w:val="none" w:sz="0" w:space="0" w:color="auto"/>
        <w:left w:val="none" w:sz="0" w:space="0" w:color="auto"/>
        <w:bottom w:val="none" w:sz="0" w:space="0" w:color="auto"/>
        <w:right w:val="none" w:sz="0" w:space="0" w:color="auto"/>
      </w:divBdr>
    </w:div>
    <w:div w:id="1588273475">
      <w:bodyDiv w:val="1"/>
      <w:marLeft w:val="0"/>
      <w:marRight w:val="0"/>
      <w:marTop w:val="0"/>
      <w:marBottom w:val="0"/>
      <w:divBdr>
        <w:top w:val="none" w:sz="0" w:space="0" w:color="auto"/>
        <w:left w:val="none" w:sz="0" w:space="0" w:color="auto"/>
        <w:bottom w:val="none" w:sz="0" w:space="0" w:color="auto"/>
        <w:right w:val="none" w:sz="0" w:space="0" w:color="auto"/>
      </w:divBdr>
    </w:div>
    <w:div w:id="1616017416">
      <w:bodyDiv w:val="1"/>
      <w:marLeft w:val="0"/>
      <w:marRight w:val="0"/>
      <w:marTop w:val="0"/>
      <w:marBottom w:val="0"/>
      <w:divBdr>
        <w:top w:val="none" w:sz="0" w:space="0" w:color="auto"/>
        <w:left w:val="none" w:sz="0" w:space="0" w:color="auto"/>
        <w:bottom w:val="none" w:sz="0" w:space="0" w:color="auto"/>
        <w:right w:val="none" w:sz="0" w:space="0" w:color="auto"/>
      </w:divBdr>
    </w:div>
    <w:div w:id="1667130057">
      <w:bodyDiv w:val="1"/>
      <w:marLeft w:val="0"/>
      <w:marRight w:val="0"/>
      <w:marTop w:val="0"/>
      <w:marBottom w:val="0"/>
      <w:divBdr>
        <w:top w:val="none" w:sz="0" w:space="0" w:color="auto"/>
        <w:left w:val="none" w:sz="0" w:space="0" w:color="auto"/>
        <w:bottom w:val="none" w:sz="0" w:space="0" w:color="auto"/>
        <w:right w:val="none" w:sz="0" w:space="0" w:color="auto"/>
      </w:divBdr>
    </w:div>
    <w:div w:id="1678575731">
      <w:bodyDiv w:val="1"/>
      <w:marLeft w:val="0"/>
      <w:marRight w:val="0"/>
      <w:marTop w:val="0"/>
      <w:marBottom w:val="0"/>
      <w:divBdr>
        <w:top w:val="none" w:sz="0" w:space="0" w:color="auto"/>
        <w:left w:val="none" w:sz="0" w:space="0" w:color="auto"/>
        <w:bottom w:val="none" w:sz="0" w:space="0" w:color="auto"/>
        <w:right w:val="none" w:sz="0" w:space="0" w:color="auto"/>
      </w:divBdr>
      <w:divsChild>
        <w:div w:id="439837244">
          <w:marLeft w:val="0"/>
          <w:marRight w:val="0"/>
          <w:marTop w:val="0"/>
          <w:marBottom w:val="0"/>
          <w:divBdr>
            <w:top w:val="none" w:sz="0" w:space="0" w:color="auto"/>
            <w:left w:val="none" w:sz="0" w:space="0" w:color="auto"/>
            <w:bottom w:val="none" w:sz="0" w:space="0" w:color="auto"/>
            <w:right w:val="none" w:sz="0" w:space="0" w:color="auto"/>
          </w:divBdr>
        </w:div>
        <w:div w:id="876508473">
          <w:marLeft w:val="0"/>
          <w:marRight w:val="0"/>
          <w:marTop w:val="0"/>
          <w:marBottom w:val="0"/>
          <w:divBdr>
            <w:top w:val="none" w:sz="0" w:space="0" w:color="auto"/>
            <w:left w:val="none" w:sz="0" w:space="0" w:color="auto"/>
            <w:bottom w:val="none" w:sz="0" w:space="0" w:color="auto"/>
            <w:right w:val="none" w:sz="0" w:space="0" w:color="auto"/>
          </w:divBdr>
        </w:div>
        <w:div w:id="710573414">
          <w:marLeft w:val="0"/>
          <w:marRight w:val="0"/>
          <w:marTop w:val="0"/>
          <w:marBottom w:val="0"/>
          <w:divBdr>
            <w:top w:val="none" w:sz="0" w:space="0" w:color="auto"/>
            <w:left w:val="none" w:sz="0" w:space="0" w:color="auto"/>
            <w:bottom w:val="none" w:sz="0" w:space="0" w:color="auto"/>
            <w:right w:val="none" w:sz="0" w:space="0" w:color="auto"/>
          </w:divBdr>
        </w:div>
        <w:div w:id="1594820981">
          <w:marLeft w:val="0"/>
          <w:marRight w:val="0"/>
          <w:marTop w:val="0"/>
          <w:marBottom w:val="0"/>
          <w:divBdr>
            <w:top w:val="none" w:sz="0" w:space="0" w:color="auto"/>
            <w:left w:val="none" w:sz="0" w:space="0" w:color="auto"/>
            <w:bottom w:val="none" w:sz="0" w:space="0" w:color="auto"/>
            <w:right w:val="none" w:sz="0" w:space="0" w:color="auto"/>
          </w:divBdr>
        </w:div>
        <w:div w:id="1166163181">
          <w:marLeft w:val="0"/>
          <w:marRight w:val="0"/>
          <w:marTop w:val="0"/>
          <w:marBottom w:val="0"/>
          <w:divBdr>
            <w:top w:val="none" w:sz="0" w:space="0" w:color="auto"/>
            <w:left w:val="none" w:sz="0" w:space="0" w:color="auto"/>
            <w:bottom w:val="none" w:sz="0" w:space="0" w:color="auto"/>
            <w:right w:val="none" w:sz="0" w:space="0" w:color="auto"/>
          </w:divBdr>
        </w:div>
        <w:div w:id="1729300579">
          <w:marLeft w:val="0"/>
          <w:marRight w:val="0"/>
          <w:marTop w:val="0"/>
          <w:marBottom w:val="0"/>
          <w:divBdr>
            <w:top w:val="none" w:sz="0" w:space="0" w:color="auto"/>
            <w:left w:val="none" w:sz="0" w:space="0" w:color="auto"/>
            <w:bottom w:val="none" w:sz="0" w:space="0" w:color="auto"/>
            <w:right w:val="none" w:sz="0" w:space="0" w:color="auto"/>
          </w:divBdr>
        </w:div>
        <w:div w:id="1066681290">
          <w:marLeft w:val="0"/>
          <w:marRight w:val="0"/>
          <w:marTop w:val="0"/>
          <w:marBottom w:val="0"/>
          <w:divBdr>
            <w:top w:val="none" w:sz="0" w:space="0" w:color="auto"/>
            <w:left w:val="none" w:sz="0" w:space="0" w:color="auto"/>
            <w:bottom w:val="none" w:sz="0" w:space="0" w:color="auto"/>
            <w:right w:val="none" w:sz="0" w:space="0" w:color="auto"/>
          </w:divBdr>
        </w:div>
        <w:div w:id="1149322290">
          <w:marLeft w:val="0"/>
          <w:marRight w:val="0"/>
          <w:marTop w:val="0"/>
          <w:marBottom w:val="0"/>
          <w:divBdr>
            <w:top w:val="none" w:sz="0" w:space="0" w:color="auto"/>
            <w:left w:val="none" w:sz="0" w:space="0" w:color="auto"/>
            <w:bottom w:val="none" w:sz="0" w:space="0" w:color="auto"/>
            <w:right w:val="none" w:sz="0" w:space="0" w:color="auto"/>
          </w:divBdr>
        </w:div>
        <w:div w:id="1202209422">
          <w:marLeft w:val="0"/>
          <w:marRight w:val="0"/>
          <w:marTop w:val="0"/>
          <w:marBottom w:val="0"/>
          <w:divBdr>
            <w:top w:val="none" w:sz="0" w:space="0" w:color="auto"/>
            <w:left w:val="none" w:sz="0" w:space="0" w:color="auto"/>
            <w:bottom w:val="none" w:sz="0" w:space="0" w:color="auto"/>
            <w:right w:val="none" w:sz="0" w:space="0" w:color="auto"/>
          </w:divBdr>
        </w:div>
      </w:divsChild>
    </w:div>
    <w:div w:id="1692415537">
      <w:bodyDiv w:val="1"/>
      <w:marLeft w:val="0"/>
      <w:marRight w:val="0"/>
      <w:marTop w:val="0"/>
      <w:marBottom w:val="0"/>
      <w:divBdr>
        <w:top w:val="none" w:sz="0" w:space="0" w:color="auto"/>
        <w:left w:val="none" w:sz="0" w:space="0" w:color="auto"/>
        <w:bottom w:val="none" w:sz="0" w:space="0" w:color="auto"/>
        <w:right w:val="none" w:sz="0" w:space="0" w:color="auto"/>
      </w:divBdr>
      <w:divsChild>
        <w:div w:id="388379925">
          <w:marLeft w:val="0"/>
          <w:marRight w:val="0"/>
          <w:marTop w:val="0"/>
          <w:marBottom w:val="0"/>
          <w:divBdr>
            <w:top w:val="none" w:sz="0" w:space="0" w:color="auto"/>
            <w:left w:val="none" w:sz="0" w:space="0" w:color="auto"/>
            <w:bottom w:val="none" w:sz="0" w:space="0" w:color="auto"/>
            <w:right w:val="none" w:sz="0" w:space="0" w:color="auto"/>
          </w:divBdr>
        </w:div>
        <w:div w:id="228001636">
          <w:marLeft w:val="0"/>
          <w:marRight w:val="0"/>
          <w:marTop w:val="0"/>
          <w:marBottom w:val="0"/>
          <w:divBdr>
            <w:top w:val="none" w:sz="0" w:space="0" w:color="auto"/>
            <w:left w:val="none" w:sz="0" w:space="0" w:color="auto"/>
            <w:bottom w:val="none" w:sz="0" w:space="0" w:color="auto"/>
            <w:right w:val="none" w:sz="0" w:space="0" w:color="auto"/>
          </w:divBdr>
        </w:div>
        <w:div w:id="558440610">
          <w:marLeft w:val="0"/>
          <w:marRight w:val="0"/>
          <w:marTop w:val="0"/>
          <w:marBottom w:val="0"/>
          <w:divBdr>
            <w:top w:val="none" w:sz="0" w:space="0" w:color="auto"/>
            <w:left w:val="none" w:sz="0" w:space="0" w:color="auto"/>
            <w:bottom w:val="none" w:sz="0" w:space="0" w:color="auto"/>
            <w:right w:val="none" w:sz="0" w:space="0" w:color="auto"/>
          </w:divBdr>
        </w:div>
        <w:div w:id="1734625127">
          <w:marLeft w:val="0"/>
          <w:marRight w:val="0"/>
          <w:marTop w:val="0"/>
          <w:marBottom w:val="0"/>
          <w:divBdr>
            <w:top w:val="none" w:sz="0" w:space="0" w:color="auto"/>
            <w:left w:val="none" w:sz="0" w:space="0" w:color="auto"/>
            <w:bottom w:val="none" w:sz="0" w:space="0" w:color="auto"/>
            <w:right w:val="none" w:sz="0" w:space="0" w:color="auto"/>
          </w:divBdr>
        </w:div>
        <w:div w:id="1490320999">
          <w:marLeft w:val="0"/>
          <w:marRight w:val="0"/>
          <w:marTop w:val="0"/>
          <w:marBottom w:val="0"/>
          <w:divBdr>
            <w:top w:val="none" w:sz="0" w:space="0" w:color="auto"/>
            <w:left w:val="none" w:sz="0" w:space="0" w:color="auto"/>
            <w:bottom w:val="none" w:sz="0" w:space="0" w:color="auto"/>
            <w:right w:val="none" w:sz="0" w:space="0" w:color="auto"/>
          </w:divBdr>
        </w:div>
      </w:divsChild>
    </w:div>
    <w:div w:id="1750888436">
      <w:bodyDiv w:val="1"/>
      <w:marLeft w:val="0"/>
      <w:marRight w:val="0"/>
      <w:marTop w:val="0"/>
      <w:marBottom w:val="0"/>
      <w:divBdr>
        <w:top w:val="none" w:sz="0" w:space="0" w:color="auto"/>
        <w:left w:val="none" w:sz="0" w:space="0" w:color="auto"/>
        <w:bottom w:val="none" w:sz="0" w:space="0" w:color="auto"/>
        <w:right w:val="none" w:sz="0" w:space="0" w:color="auto"/>
      </w:divBdr>
      <w:divsChild>
        <w:div w:id="7366559">
          <w:marLeft w:val="0"/>
          <w:marRight w:val="0"/>
          <w:marTop w:val="0"/>
          <w:marBottom w:val="0"/>
          <w:divBdr>
            <w:top w:val="none" w:sz="0" w:space="0" w:color="auto"/>
            <w:left w:val="none" w:sz="0" w:space="0" w:color="auto"/>
            <w:bottom w:val="none" w:sz="0" w:space="0" w:color="auto"/>
            <w:right w:val="none" w:sz="0" w:space="0" w:color="auto"/>
          </w:divBdr>
        </w:div>
        <w:div w:id="2147119292">
          <w:marLeft w:val="0"/>
          <w:marRight w:val="0"/>
          <w:marTop w:val="0"/>
          <w:marBottom w:val="0"/>
          <w:divBdr>
            <w:top w:val="none" w:sz="0" w:space="0" w:color="auto"/>
            <w:left w:val="none" w:sz="0" w:space="0" w:color="auto"/>
            <w:bottom w:val="none" w:sz="0" w:space="0" w:color="auto"/>
            <w:right w:val="none" w:sz="0" w:space="0" w:color="auto"/>
          </w:divBdr>
        </w:div>
        <w:div w:id="2783255">
          <w:marLeft w:val="0"/>
          <w:marRight w:val="0"/>
          <w:marTop w:val="0"/>
          <w:marBottom w:val="0"/>
          <w:divBdr>
            <w:top w:val="none" w:sz="0" w:space="0" w:color="auto"/>
            <w:left w:val="none" w:sz="0" w:space="0" w:color="auto"/>
            <w:bottom w:val="none" w:sz="0" w:space="0" w:color="auto"/>
            <w:right w:val="none" w:sz="0" w:space="0" w:color="auto"/>
          </w:divBdr>
        </w:div>
        <w:div w:id="783114987">
          <w:marLeft w:val="0"/>
          <w:marRight w:val="0"/>
          <w:marTop w:val="0"/>
          <w:marBottom w:val="0"/>
          <w:divBdr>
            <w:top w:val="none" w:sz="0" w:space="0" w:color="auto"/>
            <w:left w:val="none" w:sz="0" w:space="0" w:color="auto"/>
            <w:bottom w:val="none" w:sz="0" w:space="0" w:color="auto"/>
            <w:right w:val="none" w:sz="0" w:space="0" w:color="auto"/>
          </w:divBdr>
        </w:div>
        <w:div w:id="2057779728">
          <w:marLeft w:val="0"/>
          <w:marRight w:val="0"/>
          <w:marTop w:val="0"/>
          <w:marBottom w:val="0"/>
          <w:divBdr>
            <w:top w:val="none" w:sz="0" w:space="0" w:color="auto"/>
            <w:left w:val="none" w:sz="0" w:space="0" w:color="auto"/>
            <w:bottom w:val="none" w:sz="0" w:space="0" w:color="auto"/>
            <w:right w:val="none" w:sz="0" w:space="0" w:color="auto"/>
          </w:divBdr>
        </w:div>
      </w:divsChild>
    </w:div>
    <w:div w:id="1790660706">
      <w:bodyDiv w:val="1"/>
      <w:marLeft w:val="0"/>
      <w:marRight w:val="0"/>
      <w:marTop w:val="0"/>
      <w:marBottom w:val="0"/>
      <w:divBdr>
        <w:top w:val="none" w:sz="0" w:space="0" w:color="auto"/>
        <w:left w:val="none" w:sz="0" w:space="0" w:color="auto"/>
        <w:bottom w:val="none" w:sz="0" w:space="0" w:color="auto"/>
        <w:right w:val="none" w:sz="0" w:space="0" w:color="auto"/>
      </w:divBdr>
    </w:div>
    <w:div w:id="1888954441">
      <w:bodyDiv w:val="1"/>
      <w:marLeft w:val="0"/>
      <w:marRight w:val="0"/>
      <w:marTop w:val="0"/>
      <w:marBottom w:val="0"/>
      <w:divBdr>
        <w:top w:val="none" w:sz="0" w:space="0" w:color="auto"/>
        <w:left w:val="none" w:sz="0" w:space="0" w:color="auto"/>
        <w:bottom w:val="none" w:sz="0" w:space="0" w:color="auto"/>
        <w:right w:val="none" w:sz="0" w:space="0" w:color="auto"/>
      </w:divBdr>
      <w:divsChild>
        <w:div w:id="422840990">
          <w:marLeft w:val="0"/>
          <w:marRight w:val="0"/>
          <w:marTop w:val="0"/>
          <w:marBottom w:val="0"/>
          <w:divBdr>
            <w:top w:val="none" w:sz="0" w:space="0" w:color="auto"/>
            <w:left w:val="none" w:sz="0" w:space="0" w:color="auto"/>
            <w:bottom w:val="none" w:sz="0" w:space="0" w:color="auto"/>
            <w:right w:val="none" w:sz="0" w:space="0" w:color="auto"/>
          </w:divBdr>
        </w:div>
        <w:div w:id="1611156521">
          <w:marLeft w:val="0"/>
          <w:marRight w:val="0"/>
          <w:marTop w:val="0"/>
          <w:marBottom w:val="0"/>
          <w:divBdr>
            <w:top w:val="none" w:sz="0" w:space="0" w:color="auto"/>
            <w:left w:val="none" w:sz="0" w:space="0" w:color="auto"/>
            <w:bottom w:val="none" w:sz="0" w:space="0" w:color="auto"/>
            <w:right w:val="none" w:sz="0" w:space="0" w:color="auto"/>
          </w:divBdr>
        </w:div>
        <w:div w:id="1371035246">
          <w:marLeft w:val="0"/>
          <w:marRight w:val="0"/>
          <w:marTop w:val="0"/>
          <w:marBottom w:val="0"/>
          <w:divBdr>
            <w:top w:val="none" w:sz="0" w:space="0" w:color="auto"/>
            <w:left w:val="none" w:sz="0" w:space="0" w:color="auto"/>
            <w:bottom w:val="none" w:sz="0" w:space="0" w:color="auto"/>
            <w:right w:val="none" w:sz="0" w:space="0" w:color="auto"/>
          </w:divBdr>
        </w:div>
        <w:div w:id="998846177">
          <w:marLeft w:val="0"/>
          <w:marRight w:val="0"/>
          <w:marTop w:val="0"/>
          <w:marBottom w:val="0"/>
          <w:divBdr>
            <w:top w:val="none" w:sz="0" w:space="0" w:color="auto"/>
            <w:left w:val="none" w:sz="0" w:space="0" w:color="auto"/>
            <w:bottom w:val="none" w:sz="0" w:space="0" w:color="auto"/>
            <w:right w:val="none" w:sz="0" w:space="0" w:color="auto"/>
          </w:divBdr>
        </w:div>
        <w:div w:id="339477731">
          <w:marLeft w:val="0"/>
          <w:marRight w:val="0"/>
          <w:marTop w:val="0"/>
          <w:marBottom w:val="0"/>
          <w:divBdr>
            <w:top w:val="none" w:sz="0" w:space="0" w:color="auto"/>
            <w:left w:val="none" w:sz="0" w:space="0" w:color="auto"/>
            <w:bottom w:val="none" w:sz="0" w:space="0" w:color="auto"/>
            <w:right w:val="none" w:sz="0" w:space="0" w:color="auto"/>
          </w:divBdr>
        </w:div>
        <w:div w:id="2085642422">
          <w:marLeft w:val="0"/>
          <w:marRight w:val="0"/>
          <w:marTop w:val="0"/>
          <w:marBottom w:val="0"/>
          <w:divBdr>
            <w:top w:val="none" w:sz="0" w:space="0" w:color="auto"/>
            <w:left w:val="none" w:sz="0" w:space="0" w:color="auto"/>
            <w:bottom w:val="none" w:sz="0" w:space="0" w:color="auto"/>
            <w:right w:val="none" w:sz="0" w:space="0" w:color="auto"/>
          </w:divBdr>
        </w:div>
      </w:divsChild>
    </w:div>
    <w:div w:id="2025981584">
      <w:bodyDiv w:val="1"/>
      <w:marLeft w:val="0"/>
      <w:marRight w:val="0"/>
      <w:marTop w:val="0"/>
      <w:marBottom w:val="0"/>
      <w:divBdr>
        <w:top w:val="none" w:sz="0" w:space="0" w:color="auto"/>
        <w:left w:val="none" w:sz="0" w:space="0" w:color="auto"/>
        <w:bottom w:val="none" w:sz="0" w:space="0" w:color="auto"/>
        <w:right w:val="none" w:sz="0" w:space="0" w:color="auto"/>
      </w:divBdr>
    </w:div>
    <w:div w:id="205345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c.gov.au/guidance-schools-embed-child-safety-standards" TargetMode="External"/><Relationship Id="rId18" Type="http://schemas.openxmlformats.org/officeDocument/2006/relationships/hyperlink" Target="http://www.vic.gov.au/guidance-schools-family-engagement" TargetMode="External"/><Relationship Id="rId26" Type="http://schemas.openxmlformats.org/officeDocument/2006/relationships/hyperlink" Target="http://www.vic.gov.au/guidance-schools-physical-and-online-environments" TargetMode="External"/><Relationship Id="rId39" Type="http://schemas.openxmlformats.org/officeDocument/2006/relationships/hyperlink" Target="http://www.vic.gov.au/guidance-schools-review-child-safety-practices" TargetMode="External"/><Relationship Id="rId21" Type="http://schemas.openxmlformats.org/officeDocument/2006/relationships/hyperlink" Target="http://www.vic.gov.au/guidance-schools-suitable-staff-volunteers" TargetMode="External"/><Relationship Id="rId34" Type="http://schemas.openxmlformats.org/officeDocument/2006/relationships/hyperlink" Target="https://www2.education.vic.gov.au/pal/school-community-work/policy" TargetMode="External"/><Relationship Id="rId42" Type="http://schemas.openxmlformats.org/officeDocument/2006/relationships/hyperlink" Target="http://www.vic.gov.au/guidance-schools-implementation-child-safety-pract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ic.gov.au/guidance-schools-child-student-empowerment" TargetMode="External"/><Relationship Id="rId29" Type="http://schemas.openxmlformats.org/officeDocument/2006/relationships/hyperlink" Target="https://www2.education.vic.gov.au/pal/ndis-funded-therap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gov.au/guidance-schools-culturally-safe-environments" TargetMode="External"/><Relationship Id="rId24" Type="http://schemas.openxmlformats.org/officeDocument/2006/relationships/hyperlink" Target="http://www.vic.gov.au/guidance-schools-knowledge-skills-awareness" TargetMode="External"/><Relationship Id="rId32" Type="http://schemas.openxmlformats.org/officeDocument/2006/relationships/hyperlink" Target="https://www2.education.vic.gov.au/pal/structured-workplace-learning/policy" TargetMode="External"/><Relationship Id="rId37" Type="http://schemas.openxmlformats.org/officeDocument/2006/relationships/hyperlink" Target="https://www2.education.vic.gov.au/pal" TargetMode="External"/><Relationship Id="rId40" Type="http://schemas.openxmlformats.org/officeDocument/2006/relationships/hyperlink" Target="https://www.vic.gov.au/child-safety-and-wellbeing-polic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school/teachers/teachingresources/discipline/capabilities/personal/Pages/respectfulrel.aspx" TargetMode="External"/><Relationship Id="rId23" Type="http://schemas.openxmlformats.org/officeDocument/2006/relationships/hyperlink" Target="http://www.vic.gov.au/guidance-schools-complaints-process" TargetMode="External"/><Relationship Id="rId28" Type="http://schemas.openxmlformats.org/officeDocument/2006/relationships/hyperlink" Target="https://www2.education.vic.gov.au/pal/doctors-secondary-schools/policy" TargetMode="External"/><Relationship Id="rId36" Type="http://schemas.openxmlformats.org/officeDocument/2006/relationships/hyperlink" Target="https://www2.education.vic.gov.au/pal/community-vcal/policy" TargetMode="External"/><Relationship Id="rId10" Type="http://schemas.openxmlformats.org/officeDocument/2006/relationships/endnotes" Target="endnotes.xml"/><Relationship Id="rId19" Type="http://schemas.openxmlformats.org/officeDocument/2006/relationships/hyperlink" Target="https://www.education.vic.gov.au/school/teachers/teachingresources/discipline/capabilities/personal/Pages/respectfulrel.aspx" TargetMode="External"/><Relationship Id="rId31" Type="http://schemas.openxmlformats.org/officeDocument/2006/relationships/hyperlink" Target="https://www2.education.vic.gov.au/pal/procurement-in-schools/policy"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vic.gov.au/sites/default/files/files/media/creating_managing_and_retaining_records_of_child_sexual_abuse_final_0.pdf" TargetMode="External"/><Relationship Id="rId22" Type="http://schemas.openxmlformats.org/officeDocument/2006/relationships/hyperlink" Target="http://www.vic.gov.au/guidance-schools-suitable-staff-volunteers" TargetMode="External"/><Relationship Id="rId27" Type="http://schemas.openxmlformats.org/officeDocument/2006/relationships/hyperlink" Target="https://www2.education.vic.gov.au/pal/excursions/policy" TargetMode="External"/><Relationship Id="rId30" Type="http://schemas.openxmlformats.org/officeDocument/2006/relationships/hyperlink" Target="https://www2.education.vic.gov.au/pal/work-experience/policy" TargetMode="External"/><Relationship Id="rId35" Type="http://schemas.openxmlformats.org/officeDocument/2006/relationships/hyperlink" Target="https://www2.education.vic.gov.au/pal/purchasing-secondary-courses/policy"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education.vic.gov.au/pal/records-management/policy" TargetMode="External"/><Relationship Id="rId17" Type="http://schemas.openxmlformats.org/officeDocument/2006/relationships/hyperlink" Target="https://www.education.vic.gov.au/school/teachers/health/childprotection/Pages/identify.aspx" TargetMode="External"/><Relationship Id="rId25" Type="http://schemas.openxmlformats.org/officeDocument/2006/relationships/hyperlink" Target="http://www.vic.gov.au/guidance-schools-physical-and-online-environments" TargetMode="External"/><Relationship Id="rId33" Type="http://schemas.openxmlformats.org/officeDocument/2006/relationships/hyperlink" Target="https://www2.education.vic.gov.au/pal/school-based-apprenticeships-and-traineeships/policy" TargetMode="External"/><Relationship Id="rId38" Type="http://schemas.openxmlformats.org/officeDocument/2006/relationships/hyperlink" Target="http://www.vic.gov.au/guidance-schools-physical-and-online-environments" TargetMode="External"/><Relationship Id="rId46" Type="http://schemas.openxmlformats.org/officeDocument/2006/relationships/theme" Target="theme/theme1.xml"/><Relationship Id="rId20" Type="http://schemas.openxmlformats.org/officeDocument/2006/relationships/hyperlink" Target="http://www.vic.gov.au/guidance-schools-diversity-equity" TargetMode="External"/><Relationship Id="rId41" Type="http://schemas.openxmlformats.org/officeDocument/2006/relationships/hyperlink" Target="http://www.vic.gov.au/new-child-safe-standards-schools"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risk management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1CF612CB-4EC8-4F53-8C90-1861D426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6399</Words>
  <Characters>36478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Heather Kennedy</cp:lastModifiedBy>
  <cp:revision>6</cp:revision>
  <dcterms:created xsi:type="dcterms:W3CDTF">2022-06-06T01:47:00Z</dcterms:created>
  <dcterms:modified xsi:type="dcterms:W3CDTF">2022-06-08T01:56:00Z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SiteId">
    <vt:lpwstr>{7d2283a3-a50e-477a-813a-f27a4c2aa7fc}</vt:lpwstr>
  </property>
  <property fmtid="{D5CDD505-2E9C-101B-9397-08002B2CF9AE}" pid="10" name="RecordPoint_ActiveItemListId">
    <vt:lpwstr>{fca5e9c8-27d9-472e-a6c1-9b64d74fce58}</vt:lpwstr>
  </property>
  <property fmtid="{D5CDD505-2E9C-101B-9397-08002B2CF9AE}" pid="11" name="RecordPoint_ActiveItemUniqueId">
    <vt:lpwstr>{7ee55613-a0a5-49a6-9199-fe12d796c922}</vt:lpwstr>
  </property>
  <property fmtid="{D5CDD505-2E9C-101B-9397-08002B2CF9AE}" pid="12" name="RecordPoint_ActiveItemWebId">
    <vt:lpwstr>{cb4d886a-19b3-4635-97ca-6a22f568847a}</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RecordNumberSubmitted">
    <vt:lpwstr>R20220248247</vt:lpwstr>
  </property>
  <property fmtid="{D5CDD505-2E9C-101B-9397-08002B2CF9AE}" pid="17" name="RecordPoint_SubmissionCompleted">
    <vt:lpwstr>2022-04-20T16:03:50.4049294+10:00</vt:lpwstr>
  </property>
  <property fmtid="{D5CDD505-2E9C-101B-9397-08002B2CF9AE}" pid="18" name="DEECD_Author">
    <vt:lpwstr/>
  </property>
  <property fmtid="{D5CDD505-2E9C-101B-9397-08002B2CF9AE}" pid="19" name="DEECD_SubjectCategory">
    <vt:lpwstr/>
  </property>
  <property fmtid="{D5CDD505-2E9C-101B-9397-08002B2CF9AE}" pid="20" name="DEECD_ItemType">
    <vt:lpwstr/>
  </property>
  <property fmtid="{D5CDD505-2E9C-101B-9397-08002B2CF9AE}" pid="21" name="DEECD_Audience">
    <vt:lpwstr/>
  </property>
</Properties>
</file>