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</w:rPr>
        <w:t>Help for non-English speakers</w:t>
      </w:r>
    </w:p>
    <w:p>
      <w:r>
        <w:t xml:space="preserve">If you need help to understand the information in this </w:t>
      </w:r>
      <w:r>
        <w:t>policy,</w:t>
      </w:r>
      <w:r>
        <w:t xml:space="preserve"> please contact</w:t>
      </w:r>
      <w:r>
        <w:t xml:space="preserve"> Toolamba P.S toolamba.ps@education.vic.gov.au</w:t>
      </w:r>
    </w:p>
    <w:p>
      <w:pPr>
        <w:spacing w:line="240" w:lineRule="auto"/>
        <w:jc w:val="both"/>
        <w:rPr>
          <w:rFonts w:ascii="Calibri" w:hAnsi="Calibri" w:cs="Calibri"/>
          <w:b/>
        </w:rPr>
      </w:pPr>
    </w:p>
    <w:p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and </w:t>
      </w:r>
      <w:r>
        <w:rPr>
          <w:rFonts w:cstheme="minorHAnsi"/>
        </w:rPr>
        <w:t>Toolamba P.S.’s policy</w:t>
      </w:r>
      <w:r>
        <w:rPr>
          <w:rFonts w:cstheme="minorHAnsi"/>
        </w:rPr>
        <w:t xml:space="preserve"> requirements and expectations relating to students using mobile phones and other personal mobile devices during school hours.  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students at </w:t>
      </w:r>
      <w:r>
        <w:rPr>
          <w:rFonts w:asciiTheme="minorHAnsi" w:hAnsiTheme="minorHAnsi" w:cstheme="minorHAnsi"/>
          <w:sz w:val="22"/>
          <w:szCs w:val="22"/>
        </w:rPr>
        <w:t>Toolamba Primary School</w:t>
      </w:r>
      <w:r>
        <w:rPr>
          <w:rFonts w:asciiTheme="minorHAnsi" w:hAnsiTheme="minorHAnsi" w:cstheme="minorHAnsi"/>
          <w:sz w:val="22"/>
          <w:szCs w:val="22"/>
        </w:rPr>
        <w:t xml:space="preserve"> and,</w:t>
      </w:r>
    </w:p>
    <w:p>
      <w:pPr>
        <w:pStyle w:val="Default"/>
        <w:numPr>
          <w:ilvl w:val="0"/>
          <w:numId w:val="5"/>
        </w:numPr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Students’ personal mobile phones and other personal mobile devices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brought onto school premises during school hours, including recess and lunchtime.</w:t>
      </w:r>
    </w:p>
    <w:p>
      <w:pPr>
        <w:pStyle w:val="Default"/>
        <w:ind w:left="720"/>
        <w:rPr>
          <w:rFonts w:cstheme="minorHAnsi"/>
        </w:rPr>
      </w:pP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Definitions</w:t>
      </w:r>
    </w:p>
    <w:p>
      <w:pPr>
        <w:jc w:val="both"/>
        <w:outlineLvl w:val="1"/>
        <w:rPr>
          <w:rFonts w:eastAsiaTheme="majorEastAsia" w:cstheme="minorHAnsi"/>
          <w:b/>
          <w:caps/>
          <w:color w:val="4F81BD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 xml:space="preserve">is a telephone with access to a cellular (telecommunication) system, with or without a physical connection to a network. </w:t>
      </w:r>
      <w:r>
        <w:rPr>
          <w:rFonts w:cstheme="minorHAnsi"/>
          <w:color w:val="000000"/>
        </w:rPr>
        <w:t xml:space="preserve"> “For the purpose of this policy, “mobile phone” refers to mobile phones and any device that may connect to or have a similar functionality to a mobile phone such as smart watches.”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Toolamba Primary School</w:t>
      </w:r>
      <w:r>
        <w:rPr>
          <w:rFonts w:cstheme="minorHAnsi"/>
        </w:rPr>
        <w:t xml:space="preserve"> understands that students may bring a personal mobile phone to school, particularly if they are travelling independently to and from school.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At </w:t>
      </w:r>
      <w:r>
        <w:rPr>
          <w:rFonts w:cstheme="minorHAnsi"/>
        </w:rPr>
        <w:t>Toolamba Primary School</w:t>
      </w:r>
      <w:r>
        <w:rPr>
          <w:rFonts w:cstheme="minorHAnsi"/>
        </w:rPr>
        <w:t>:</w:t>
      </w:r>
    </w:p>
    <w:p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 during school hours</w:t>
      </w:r>
    </w:p>
    <w:p>
      <w:pPr>
        <w:pStyle w:val="ListParagraph"/>
        <w:keepNext/>
        <w:keepLines/>
        <w:numPr>
          <w:ilvl w:val="0"/>
          <w:numId w:val="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>
      <w:pPr>
        <w:pStyle w:val="Bullet1"/>
        <w:numPr>
          <w:ilvl w:val="0"/>
          <w:numId w:val="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mobile phone use </w:t>
      </w:r>
    </w:p>
    <w:p>
      <w:pPr>
        <w:jc w:val="both"/>
      </w:pPr>
      <w:r>
        <w:t xml:space="preserve">In accordance with the Department’s </w:t>
      </w:r>
      <w:hyperlink r:id="rId9" w:history="1">
        <w:r>
          <w:rPr>
            <w:rStyle w:val="Hyperlink"/>
          </w:rPr>
          <w:t>Mobile Phones — Student Use Policy</w:t>
        </w:r>
      </w:hyperlink>
      <w:r>
        <w:t xml:space="preserve"> issued by the Minister for Education, personal mobile phones must not be used at </w:t>
      </w:r>
      <w:r>
        <w:t>Toolamba Primary School</w:t>
      </w:r>
      <w:r>
        <w:t xml:space="preserve"> during school hours, including lunchtime and recess, unless an exception has been granted.</w:t>
      </w:r>
    </w:p>
    <w:p>
      <w:pPr>
        <w:jc w:val="both"/>
      </w:pPr>
      <w:r>
        <w:lastRenderedPageBreak/>
        <w:t xml:space="preserve">Where a student has been granted an exception, the student must use their mobile phone for the purpose for which the exception was granted, and in a safe, </w:t>
      </w:r>
      <w:proofErr w:type="gramStart"/>
      <w:r>
        <w:t>ethical</w:t>
      </w:r>
      <w:proofErr w:type="gramEnd"/>
      <w:r>
        <w:t xml:space="preserve"> and responsible manner.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Secure storage</w:t>
      </w:r>
    </w:p>
    <w:p>
      <w:pPr>
        <w:pStyle w:val="paragraph"/>
        <w:spacing w:before="0" w:beforeAutospacing="0" w:after="0" w:afterAutospacing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 xml:space="preserve">Mobile phones owned by students at </w:t>
      </w:r>
      <w:r>
        <w:rPr>
          <w:rFonts w:asciiTheme="minorHAnsi" w:hAnsiTheme="minorHAnsi" w:cstheme="minorHAnsi"/>
          <w:sz w:val="22"/>
          <w:szCs w:val="22"/>
        </w:rPr>
        <w:t>Toolamba Primary School</w:t>
      </w:r>
      <w:r>
        <w:rPr>
          <w:rFonts w:asciiTheme="minorHAnsi" w:hAnsiTheme="minorHAnsi" w:cstheme="minorHAnsi"/>
          <w:sz w:val="22"/>
          <w:szCs w:val="22"/>
        </w:rPr>
        <w:t xml:space="preserve"> are considered valuable items and are brought to school at the owner’s (student’s or parent/carer’s) risk.  Students are encouraged not to bring a mobile phone to school unless there is a compelling reason to do so.  Please note that </w:t>
      </w:r>
      <w:r>
        <w:rPr>
          <w:rFonts w:asciiTheme="minorHAnsi" w:hAnsiTheme="minorHAnsi" w:cstheme="minorHAnsi"/>
          <w:sz w:val="22"/>
          <w:szCs w:val="22"/>
        </w:rPr>
        <w:t>Toolamba Primary School</w:t>
      </w:r>
      <w:r>
        <w:rPr>
          <w:rFonts w:asciiTheme="minorHAnsi" w:hAnsiTheme="minorHAnsi" w:cstheme="minorHAnsi"/>
          <w:sz w:val="22"/>
          <w:szCs w:val="22"/>
        </w:rPr>
        <w:t xml:space="preserve"> does not have accident insurance for accidental property damage or theft. Students and their parents/carers are encouraged to obtain appropriate insurance for valuable items.  Refer to the  Department’s </w:t>
      </w:r>
      <w:hyperlink r:id="rId10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.</w:t>
      </w:r>
      <w:r>
        <w:rPr>
          <w:rFonts w:cstheme="minorHAnsi"/>
        </w:rPr>
        <w:t xml:space="preserve">ere students bring a mobile phone to school, </w:t>
      </w:r>
      <w:r>
        <w:rPr>
          <w:rFonts w:cstheme="minorHAnsi"/>
        </w:rPr>
        <w:t>Toolamba Primary School</w:t>
      </w:r>
      <w:r>
        <w:rPr>
          <w:rFonts w:cstheme="minorHAnsi"/>
        </w:rPr>
        <w:t xml:space="preserve"> will provide secure storage. Secure storage is storage that cannot be readily accessed by those without permission to do so. At </w:t>
      </w:r>
      <w:r>
        <w:rPr>
          <w:rFonts w:cstheme="minorHAnsi"/>
        </w:rPr>
        <w:t>Toolamba Primary School</w:t>
      </w:r>
      <w:r>
        <w:rPr>
          <w:rFonts w:cstheme="minorHAnsi"/>
        </w:rPr>
        <w:t xml:space="preserve"> students are required to store their phones</w:t>
      </w:r>
      <w:r>
        <w:rPr>
          <w:rFonts w:cstheme="minorHAnsi"/>
        </w:rPr>
        <w:t xml:space="preserve"> in their school bag.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Enforcement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Students who use their personal mobile phones inappropriately at </w:t>
      </w:r>
      <w:r>
        <w:rPr>
          <w:rFonts w:cstheme="minorHAnsi"/>
        </w:rPr>
        <w:t>Toolamba Primary School</w:t>
      </w:r>
      <w:r>
        <w:rPr>
          <w:rFonts w:cstheme="minorHAnsi"/>
        </w:rPr>
        <w:t xml:space="preserve"> may be issued with consequences consistent with our school’s existing student engagement polices [insert the name of the relevant policy/policies at your school</w:t>
      </w:r>
      <w:r>
        <w:rPr>
          <w:rFonts w:cstheme="minorHAnsi"/>
          <w:i/>
        </w:rPr>
        <w:t xml:space="preserve"> </w:t>
      </w:r>
      <w:proofErr w:type="gramStart"/>
      <w:r>
        <w:rPr>
          <w:rFonts w:cstheme="minorHAnsi"/>
          <w:i/>
        </w:rPr>
        <w:t>e.g.</w:t>
      </w:r>
      <w:proofErr w:type="gramEnd"/>
      <w:r>
        <w:rPr>
          <w:rFonts w:cstheme="minorHAnsi"/>
          <w:i/>
        </w:rPr>
        <w:t xml:space="preserve"> Student Wellbeing and Engagement</w:t>
      </w:r>
      <w:r>
        <w:rPr>
          <w:rFonts w:cstheme="minorHAnsi"/>
        </w:rPr>
        <w:t xml:space="preserve"> and/or </w:t>
      </w:r>
      <w:r>
        <w:rPr>
          <w:rFonts w:cstheme="minorHAnsi"/>
          <w:i/>
        </w:rPr>
        <w:t>Code of Conduct</w:t>
      </w:r>
      <w:r>
        <w:rPr>
          <w:rFonts w:cstheme="minorHAnsi"/>
        </w:rPr>
        <w:t xml:space="preserve"> or </w:t>
      </w:r>
      <w:r>
        <w:rPr>
          <w:rFonts w:cstheme="minorHAnsi"/>
          <w:i/>
        </w:rPr>
        <w:t xml:space="preserve">Bullying </w:t>
      </w:r>
      <w:r>
        <w:rPr>
          <w:rFonts w:cstheme="minorHAnsi"/>
        </w:rPr>
        <w:t>policies.</w:t>
      </w:r>
    </w:p>
    <w:p>
      <w:pPr>
        <w:jc w:val="both"/>
      </w:pPr>
      <w:r>
        <w:rPr>
          <w:rFonts w:cstheme="minorHAnsi"/>
        </w:rPr>
        <w:t>At</w:t>
      </w:r>
      <w:r>
        <w:t xml:space="preserve"> </w:t>
      </w:r>
      <w:r>
        <w:t>Toolamba Primary School</w:t>
      </w:r>
      <w:r>
        <w:t xml:space="preserve"> inappropriate use of mobile phones is </w:t>
      </w:r>
      <w:r>
        <w:rPr>
          <w:b/>
        </w:rPr>
        <w:t>any use during school hours</w:t>
      </w:r>
      <w:r>
        <w:t>, unless an exception has been granted, and particularly use of a mobile phone:</w:t>
      </w:r>
    </w:p>
    <w:p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 xml:space="preserve">in any way that disrupts the learning of others </w:t>
      </w:r>
    </w:p>
    <w:p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 xml:space="preserve">to send inappropriate, </w:t>
      </w:r>
      <w:proofErr w:type="gramStart"/>
      <w:r>
        <w:t>harassing</w:t>
      </w:r>
      <w:proofErr w:type="gramEnd"/>
      <w:r>
        <w:t xml:space="preserve"> or threatening messages or phone calls</w:t>
      </w:r>
    </w:p>
    <w:p>
      <w:pPr>
        <w:pStyle w:val="ListParagraph"/>
        <w:numPr>
          <w:ilvl w:val="0"/>
          <w:numId w:val="2"/>
        </w:numPr>
        <w:tabs>
          <w:tab w:val="left" w:pos="7230"/>
        </w:tabs>
        <w:spacing w:after="160" w:line="259" w:lineRule="auto"/>
        <w:jc w:val="both"/>
      </w:pPr>
      <w:r>
        <w:t>to engage in inappropriate social media use including cyber bullying</w:t>
      </w:r>
    </w:p>
    <w:p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 xml:space="preserve">to capture video or images of people, including students, </w:t>
      </w:r>
      <w:proofErr w:type="gramStart"/>
      <w:r>
        <w:t>teachers</w:t>
      </w:r>
      <w:proofErr w:type="gramEnd"/>
      <w:r>
        <w:t xml:space="preserve"> and members of the school community without their permission</w:t>
      </w:r>
    </w:p>
    <w:p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>to capture video or images in the school toilets, changing rooms, swimming pools and gyms</w:t>
      </w:r>
    </w:p>
    <w:p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>during exams and assessments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Exceptions to the policy:</w:t>
      </w:r>
    </w:p>
    <w:p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may be applied during school hours if certain conditions are met, specifically,</w:t>
      </w:r>
    </w:p>
    <w:p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Health and wellbeing-related exceptions; and</w:t>
      </w:r>
    </w:p>
    <w:p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Exceptions related to managing risk when students are offsite.</w:t>
      </w:r>
    </w:p>
    <w:p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can be granted by the Principal, or by the teacher for that class, in accordance with the Department’s </w:t>
      </w:r>
      <w:hyperlink r:id="rId11" w:history="1">
        <w:r>
          <w:rPr>
            <w:rStyle w:val="Hyperlink"/>
          </w:rPr>
          <w:t>Mobile Phones — Student Use Policy</w:t>
        </w:r>
      </w:hyperlink>
      <w:r>
        <w:rPr>
          <w:rFonts w:cstheme="minorHAnsi"/>
        </w:rPr>
        <w:t xml:space="preserve">. </w:t>
      </w:r>
    </w:p>
    <w:p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three categories of exceptions allowed under the Department’s </w:t>
      </w:r>
      <w:hyperlink r:id="rId12" w:history="1">
        <w:r>
          <w:rPr>
            <w:rStyle w:val="Hyperlink"/>
          </w:rPr>
          <w:t>Mobile Phones — Student Use Policy</w:t>
        </w:r>
      </w:hyperlink>
      <w:r>
        <w:t xml:space="preserve"> </w:t>
      </w:r>
      <w:r>
        <w:rPr>
          <w:rFonts w:cstheme="minorHAnsi"/>
        </w:rPr>
        <w:t>are:</w:t>
      </w:r>
    </w:p>
    <w:p>
      <w:pPr>
        <w:spacing w:before="120"/>
        <w:rPr>
          <w:rFonts w:cstheme="minorHAnsi"/>
          <w:b/>
          <w:i/>
          <w:color w:val="365F91" w:themeColor="accent1" w:themeShade="BF"/>
        </w:rPr>
      </w:pPr>
      <w:r>
        <w:rPr>
          <w:rFonts w:cstheme="minorHAnsi"/>
          <w:b/>
          <w:i/>
          <w:color w:val="365F91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48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BE5F1" w:themeFill="accent1" w:themeFillTint="33"/>
          </w:tcPr>
          <w:p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BE5F1" w:themeFill="accent1" w:themeFillTint="33"/>
          </w:tcPr>
          <w:p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Documentation</w:t>
            </w:r>
          </w:p>
        </w:tc>
      </w:tr>
      <w:tr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>
            <w:pPr>
              <w:spacing w:before="12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highlight w:val="yellow"/>
              </w:rPr>
            </w:pPr>
            <w:r>
              <w:rPr>
                <w:rFonts w:cstheme="minorHAnsi"/>
                <w:bCs/>
              </w:rPr>
              <w:t>Individual Learning Plan, Individual Education Plan</w:t>
            </w:r>
          </w:p>
        </w:tc>
      </w:tr>
    </w:tbl>
    <w:p>
      <w:pPr>
        <w:spacing w:before="120"/>
        <w:rPr>
          <w:rFonts w:cstheme="minorHAnsi"/>
          <w:b/>
          <w:i/>
          <w:color w:val="365F91" w:themeColor="accent1" w:themeShade="BF"/>
        </w:rPr>
      </w:pPr>
    </w:p>
    <w:p>
      <w:pPr>
        <w:spacing w:before="120"/>
        <w:rPr>
          <w:rFonts w:cstheme="minorHAnsi"/>
          <w:b/>
          <w:i/>
          <w:color w:val="365F91" w:themeColor="accent1" w:themeShade="BF"/>
        </w:rPr>
      </w:pPr>
      <w:r>
        <w:rPr>
          <w:rFonts w:cstheme="minorHAnsi"/>
          <w:b/>
          <w:i/>
          <w:color w:val="365F91" w:themeColor="accent1" w:themeShade="BF"/>
        </w:rPr>
        <w:t>2. 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48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BE5F1" w:themeFill="accent1" w:themeFillTint="33"/>
          </w:tcPr>
          <w:p>
            <w:pPr>
              <w:spacing w:before="12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BE5F1" w:themeFill="accent1" w:themeFillTint="33"/>
          </w:tcPr>
          <w:p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Documentation</w:t>
            </w:r>
          </w:p>
        </w:tc>
      </w:tr>
      <w:tr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>
            <w:pPr>
              <w:spacing w:before="12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Students with a health condition</w:t>
            </w:r>
          </w:p>
        </w:tc>
        <w:tc>
          <w:tcPr>
            <w:tcW w:w="2306" w:type="pct"/>
          </w:tcPr>
          <w:p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Student Health Support Plan</w:t>
            </w:r>
          </w:p>
        </w:tc>
      </w:tr>
    </w:tbl>
    <w:p>
      <w:pPr>
        <w:spacing w:before="120"/>
        <w:rPr>
          <w:rFonts w:cstheme="minorHAnsi"/>
          <w:b/>
          <w:i/>
          <w:color w:val="365F91" w:themeColor="accent1" w:themeShade="BF"/>
        </w:rPr>
      </w:pPr>
    </w:p>
    <w:p>
      <w:pPr>
        <w:spacing w:before="120"/>
        <w:rPr>
          <w:rFonts w:cstheme="minorHAnsi"/>
          <w:b/>
          <w:i/>
          <w:color w:val="365F91" w:themeColor="accent1" w:themeShade="BF"/>
        </w:rPr>
      </w:pPr>
      <w:r>
        <w:rPr>
          <w:rFonts w:cstheme="minorHAnsi"/>
          <w:b/>
          <w:i/>
          <w:color w:val="365F91" w:themeColor="accent1" w:themeShade="BF"/>
        </w:rPr>
        <w:t>3. 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48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BE5F1" w:themeFill="accent1" w:themeFillTint="33"/>
          </w:tcPr>
          <w:p>
            <w:pPr>
              <w:spacing w:before="12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BE5F1" w:themeFill="accent1" w:themeFillTint="33"/>
          </w:tcPr>
          <w:p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Documentation</w:t>
            </w:r>
          </w:p>
        </w:tc>
      </w:tr>
      <w:tr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>
            <w:pPr>
              <w:spacing w:before="12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Risk assessment planning documentation</w:t>
            </w:r>
          </w:p>
        </w:tc>
      </w:tr>
      <w:tr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>
            <w:pPr>
              <w:spacing w:before="12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Risk assessment planning documentation</w:t>
            </w:r>
          </w:p>
        </w:tc>
      </w:tr>
    </w:tbl>
    <w:p>
      <w:pPr>
        <w:spacing w:after="0" w:line="240" w:lineRule="auto"/>
        <w:jc w:val="both"/>
        <w:rPr>
          <w:rFonts w:cstheme="minorHAnsi"/>
        </w:rPr>
      </w:pPr>
    </w:p>
    <w:p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 xml:space="preserve">Where an exception is granted, the student can only use the mobile phone for the purpose for which it was granted.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Camps, </w:t>
      </w:r>
      <w:proofErr w:type="gramStart"/>
      <w:r>
        <w:rPr>
          <w:b/>
          <w:sz w:val="24"/>
          <w:szCs w:val="24"/>
        </w:rPr>
        <w:t>excursions</w:t>
      </w:r>
      <w:proofErr w:type="gramEnd"/>
      <w:r>
        <w:rPr>
          <w:b/>
          <w:sz w:val="24"/>
          <w:szCs w:val="24"/>
        </w:rPr>
        <w:t xml:space="preserve"> and extracurricular activities</w:t>
      </w:r>
    </w:p>
    <w:p>
      <w:pPr>
        <w:keepNext/>
        <w:keepLines/>
        <w:spacing w:before="40" w:line="240" w:lineRule="auto"/>
        <w:jc w:val="both"/>
      </w:pPr>
      <w:r>
        <w:t>Toolamba Primary School</w:t>
      </w:r>
      <w:r>
        <w:t xml:space="preserve"> will provide students and their parents and carers with information about items that can or cannot be brought to camps, excursions, special </w:t>
      </w:r>
      <w:proofErr w:type="gramStart"/>
      <w:r>
        <w:t>activities</w:t>
      </w:r>
      <w:proofErr w:type="gramEnd"/>
      <w:r>
        <w:t xml:space="preserve"> and events, including personal mobile phones.</w:t>
      </w:r>
    </w:p>
    <w:p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This policy does not apply </w:t>
      </w:r>
      <w:proofErr w:type="gramStart"/>
      <w:r>
        <w:rPr>
          <w:rFonts w:cstheme="minorHAnsi"/>
        </w:rPr>
        <w:t xml:space="preserve">to </w:t>
      </w:r>
      <w:r>
        <w:rPr>
          <w:rFonts w:cstheme="minorHAnsi"/>
        </w:rPr>
        <w:t>:</w:t>
      </w:r>
      <w:proofErr w:type="gramEnd"/>
    </w:p>
    <w:p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Out-of-school-hours events</w:t>
      </w:r>
    </w:p>
    <w:p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>
      <w:r>
        <w:lastRenderedPageBreak/>
        <w:t xml:space="preserve">This policy will be communicated to our school community in the following ways: 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 xml:space="preserve">Available publicly on our school’s website 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>Included in staff induction processes and staff training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 xml:space="preserve">Included in school newsletter 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 xml:space="preserve">Discussed at annual staff briefings/meetings </w:t>
      </w:r>
    </w:p>
    <w:p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eastAsiaTheme="minorEastAsia"/>
        </w:rPr>
      </w:pPr>
      <w:r>
        <w:rPr>
          <w:rFonts w:eastAsiaTheme="minorEastAsia"/>
        </w:rPr>
        <w:t>Discussed at parent information nights/sessions</w:t>
      </w:r>
    </w:p>
    <w:p>
      <w:pPr>
        <w:pStyle w:val="ListParagraph"/>
        <w:numPr>
          <w:ilvl w:val="0"/>
          <w:numId w:val="1"/>
        </w:numPr>
        <w:spacing w:after="180" w:line="240" w:lineRule="auto"/>
        <w:jc w:val="both"/>
      </w:pPr>
      <w:r>
        <w:t>Hard copy available from school administration upon request</w:t>
      </w:r>
    </w:p>
    <w:p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Related policies and resources </w:t>
      </w:r>
    </w:p>
    <w:p>
      <w:pPr>
        <w:pStyle w:val="ListParagraph"/>
        <w:numPr>
          <w:ilvl w:val="0"/>
          <w:numId w:val="8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>
        <w:rPr>
          <w:i/>
          <w:lang w:eastAsia="en-AU"/>
        </w:rPr>
        <w:t>Student Wellbeing and Engagement,</w:t>
      </w:r>
    </w:p>
    <w:p>
      <w:pPr>
        <w:pStyle w:val="ListParagraph"/>
        <w:numPr>
          <w:ilvl w:val="0"/>
          <w:numId w:val="8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>
        <w:rPr>
          <w:i/>
          <w:lang w:eastAsia="en-AU"/>
        </w:rPr>
        <w:t xml:space="preserve"> Code of Conduct, </w:t>
      </w:r>
    </w:p>
    <w:p>
      <w:pPr>
        <w:pStyle w:val="ListParagraph"/>
        <w:numPr>
          <w:ilvl w:val="0"/>
          <w:numId w:val="8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>
        <w:rPr>
          <w:i/>
          <w:lang w:eastAsia="en-AU"/>
        </w:rPr>
        <w:t>Bullying Policy (all available on school website)</w:t>
      </w:r>
    </w:p>
    <w:p>
      <w:pPr>
        <w:pStyle w:val="ListParagraph"/>
        <w:numPr>
          <w:ilvl w:val="0"/>
          <w:numId w:val="8"/>
        </w:numPr>
        <w:spacing w:before="48" w:after="0" w:line="240" w:lineRule="auto"/>
        <w:ind w:left="714" w:hanging="357"/>
        <w:jc w:val="both"/>
        <w:rPr>
          <w:rFonts w:cstheme="minorHAnsi"/>
          <w:color w:val="0000FF" w:themeColor="hyperlink"/>
          <w:u w:val="single"/>
          <w:lang w:val="en" w:eastAsia="en-AU"/>
        </w:rPr>
      </w:pPr>
      <w:hyperlink r:id="rId13" w:history="1">
        <w:r>
          <w:rPr>
            <w:rStyle w:val="Hyperlink"/>
            <w:rFonts w:cstheme="minorHAnsi"/>
          </w:rPr>
          <w:t>Claims for Property Damage and Medical Expenses</w:t>
        </w:r>
        <w:r>
          <w:rPr>
            <w:rStyle w:val="Hyperlink"/>
            <w:rFonts w:cstheme="minorHAnsi"/>
            <w:lang w:val="en" w:eastAsia="en-AU"/>
          </w:rPr>
          <w:t xml:space="preserve"> policy</w:t>
        </w:r>
      </w:hyperlink>
    </w:p>
    <w:p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75"/>
      </w:tblGrid>
      <w:t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2022</w:t>
            </w:r>
          </w:p>
        </w:tc>
      </w:tr>
      <w:t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Consultation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 School Council</w:t>
            </w:r>
          </w:p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Council</w:t>
            </w:r>
          </w:p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Principal </w:t>
            </w:r>
          </w:p>
        </w:tc>
      </w:tr>
      <w:tr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lang w:eastAsia="en-AU"/>
              </w:rPr>
              <w:t>November 2026</w:t>
            </w:r>
            <w:r>
              <w:rPr>
                <w:lang w:eastAsia="en-AU"/>
              </w:rPr>
              <w:t> </w:t>
            </w:r>
          </w:p>
        </w:tc>
      </w:tr>
    </w:tbl>
    <w:p/>
    <w:p/>
    <w:sectPr>
      <w:headerReference w:type="default" r:id="rId14"/>
      <w:type w:val="nextColumn"/>
      <w:pgSz w:w="12240" w:h="15840" w:code="1"/>
      <w:pgMar w:top="3232" w:right="879" w:bottom="454" w:left="879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ind w:left="720"/>
    </w:pP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1257300</wp:posOffset>
              </wp:positionV>
              <wp:extent cx="428625" cy="596900"/>
              <wp:effectExtent l="3175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42862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35pt;margin-top:99pt;width:33.75pt;height:4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" stroked="f" strokeweight="0" insetpen="t">
              <v:shadow color="#ccc"/>
              <o:lock v:ext="edit" shapetype="t"/>
              <v:textbox inset="2.88pt,2.88pt,2.88pt,2.88pt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2536825</wp:posOffset>
              </wp:positionH>
              <wp:positionV relativeFrom="page">
                <wp:posOffset>466090</wp:posOffset>
              </wp:positionV>
              <wp:extent cx="4664710" cy="607060"/>
              <wp:effectExtent l="3175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64710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  <w:t>Mobile Phone Policy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75pt;margin-top:36.7pt;width:367.3pt;height:47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spacing w:after="0" w:line="240" w:lineRule="auto"/>
                      <w:jc w:val="center"/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  <w:t>Mobile Phone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611505</wp:posOffset>
              </wp:positionV>
              <wp:extent cx="2845435" cy="461645"/>
              <wp:effectExtent l="3175" t="1905" r="1905" b="317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84543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ddress1"/>
                          </w:pP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03.3pt;margin-top:48.15pt;width:224.05pt;height:36.3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pStyle w:val="Addres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630555</wp:posOffset>
              </wp:positionV>
              <wp:extent cx="6629400" cy="800100"/>
              <wp:effectExtent l="19050" t="19050" r="19050" b="1905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800100"/>
                        <a:chOff x="935" y="1713"/>
                        <a:chExt cx="10440" cy="1260"/>
                      </a:xfrm>
                      <a:solidFill>
                        <a:srgbClr val="B3BEF7"/>
                      </a:solidFill>
                    </wpg:grpSpPr>
                    <wps:wsp>
                      <wps:cNvPr id="5" name="AutoShape 5"/>
                      <wps:cNvSpPr>
                        <a:spLocks noChangeArrowheads="1" noChangeShapeType="1"/>
                      </wps:cNvSpPr>
                      <wps:spPr bwMode="auto">
                        <a:xfrm>
                          <a:off x="4910" y="2028"/>
                          <a:ext cx="4688" cy="945"/>
                        </a:xfrm>
                        <a:prstGeom prst="roundRect">
                          <a:avLst>
                            <a:gd name="adj" fmla="val 48759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3995" y="1713"/>
                          <a:ext cx="7380" cy="742"/>
                        </a:xfrm>
                        <a:prstGeom prst="rect">
                          <a:avLst/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 noChangeShapeType="1"/>
                      </wps:cNvSpPr>
                      <wps:spPr bwMode="auto">
                        <a:xfrm>
                          <a:off x="935" y="2051"/>
                          <a:ext cx="9915" cy="3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2.85pt;margin-top:49.65pt;width:522pt;height:63pt;z-index:251656704" coordorigin="935,1713" coordsize="10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">
              <v:roundrect id="AutoShape 5" o:spid="_x0000_s1027" style="position:absolute;left:4910;top:2028;width:4688;height:945;visibility:visible;mso-wrap-style:square;v-text-anchor:top" arcsize="319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  <v:rect id="Rectangle 6" o:spid="_x0000_s1028" style="position:absolute;left:3995;top:1713;width:738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ect>
              <v:roundrect id="AutoShape 7" o:spid="_x0000_s1029" style="position:absolute;left:935;top:2051;width:9915;height:3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567055</wp:posOffset>
              </wp:positionV>
              <wp:extent cx="1023620" cy="5346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840105" cy="443865"/>
                                <wp:effectExtent l="0" t="0" r="0" b="0"/>
                                <wp:docPr id="11" name="Picture 2" descr="U:\0aaaJennyDavey\Logo &amp; letterheads\Transp Toolamba PS Logo (K) livetrac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:\0aaaJennyDavey\Logo &amp; letterheads\Transp Toolamba PS Logo (K) livetrac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0105" cy="443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left:0;text-align:left;margin-left:67.3pt;margin-top:44.65pt;width:80.6pt;height:42.1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" filled="f" stroked="f">
              <v:textbox style="mso-fit-shape-to-text:t">
                <w:txbxContent>
                  <w:p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840105" cy="443865"/>
                          <wp:effectExtent l="0" t="0" r="0" b="0"/>
                          <wp:docPr id="11" name="Picture 2" descr="U:\0aaaJennyDavey\Logo &amp; letterheads\Transp Toolamba PS Logo (K) livetrac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:\0aaaJennyDavey\Logo &amp; letterheads\Transp Toolamba PS Logo (K) livetrac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0105" cy="44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1288415</wp:posOffset>
              </wp:positionV>
              <wp:extent cx="4259580" cy="269240"/>
              <wp:effectExtent l="0" t="2540" r="254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Heading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Toolamba PS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63.4pt;margin-top:101.45pt;width:335.4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" filled="f" stroked="f">
              <v:textbox style="mso-fit-shape-to-text:t">
                <w:txbxContent>
                  <w:p>
                    <w:pPr>
                      <w:pStyle w:val="Heading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Toolamba PS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71900">
    <w:abstractNumId w:val="1"/>
  </w:num>
  <w:num w:numId="2" w16cid:durableId="1691836365">
    <w:abstractNumId w:val="5"/>
  </w:num>
  <w:num w:numId="3" w16cid:durableId="67461965">
    <w:abstractNumId w:val="6"/>
  </w:num>
  <w:num w:numId="4" w16cid:durableId="1613051420">
    <w:abstractNumId w:val="7"/>
  </w:num>
  <w:num w:numId="5" w16cid:durableId="107435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6936555">
    <w:abstractNumId w:val="0"/>
  </w:num>
  <w:num w:numId="7" w16cid:durableId="193660283">
    <w:abstractNumId w:val="4"/>
  </w:num>
  <w:num w:numId="8" w16cid:durableId="185167926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E8E49E5-BABE-4FA4-90B7-27E2B51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Address1">
    <w:name w:val="Address 1"/>
    <w:next w:val="Normal"/>
    <w:rPr>
      <w:rFonts w:ascii="Tahoma" w:hAnsi="Tahoma" w:cs="Arial"/>
      <w:spacing w:val="10"/>
      <w:kern w:val="28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1">
    <w:name w:val="Bullet 1"/>
    <w:basedOn w:val="Normal"/>
    <w:next w:val="Normal"/>
    <w:qFormat/>
    <w:pPr>
      <w:numPr>
        <w:numId w:val="4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33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7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8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2.education.vic.gov.au/pal/claims-property-damage-and-medical-expenses/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education.vic.gov.au/pal/students-using-mobile-phones/poli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ducation.vic.gov.au/pal/students-using-mobile-phones/poli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2.education.vic.gov.au/pal/claims-property-damage-and-medical-expenses/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education.vic.gov.au/pal/students-using-mobile-phones/poli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1317671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33A5-2F2D-4203-A73C-9FF1C6C0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22</TotalTime>
  <Pages>4</Pages>
  <Words>907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Heather J</dc:creator>
  <cp:lastModifiedBy>Heather Kennedy</cp:lastModifiedBy>
  <cp:revision>4</cp:revision>
  <cp:lastPrinted>2019-03-04T22:05:00Z</cp:lastPrinted>
  <dcterms:created xsi:type="dcterms:W3CDTF">2022-11-06T23:03:00Z</dcterms:created>
  <dcterms:modified xsi:type="dcterms:W3CDTF">2022-11-06T23:24:00Z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